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41" w:rsidRDefault="00EB728C">
      <w:pPr>
        <w:tabs>
          <w:tab w:val="left" w:pos="6271"/>
        </w:tabs>
        <w:spacing w:before="83"/>
        <w:ind w:left="1261"/>
        <w:rPr>
          <w:sz w:val="24"/>
        </w:rPr>
      </w:pPr>
      <w:r w:rsidRPr="00B132C4">
        <w:rPr>
          <w:b/>
          <w:sz w:val="24"/>
        </w:rPr>
        <w:t>ORIENTAÇÃO TÉCNICA</w:t>
      </w:r>
      <w:r w:rsidRPr="00B132C4">
        <w:rPr>
          <w:b/>
          <w:spacing w:val="-3"/>
          <w:sz w:val="24"/>
        </w:rPr>
        <w:t xml:space="preserve"> </w:t>
      </w:r>
      <w:r w:rsidRPr="00B132C4">
        <w:rPr>
          <w:b/>
          <w:sz w:val="24"/>
        </w:rPr>
        <w:t>Nº</w:t>
      </w:r>
      <w:r w:rsidRPr="00B132C4">
        <w:rPr>
          <w:b/>
          <w:spacing w:val="-2"/>
          <w:sz w:val="24"/>
        </w:rPr>
        <w:t xml:space="preserve"> </w:t>
      </w:r>
      <w:r w:rsidR="00B132C4">
        <w:rPr>
          <w:b/>
          <w:spacing w:val="-2"/>
          <w:sz w:val="24"/>
        </w:rPr>
        <w:t>003</w:t>
      </w:r>
      <w:r w:rsidRPr="00B132C4">
        <w:rPr>
          <w:b/>
          <w:sz w:val="24"/>
        </w:rPr>
        <w:t>/2020</w:t>
      </w:r>
      <w:r w:rsidRPr="00B132C4">
        <w:rPr>
          <w:b/>
          <w:sz w:val="24"/>
        </w:rPr>
        <w:tab/>
      </w:r>
      <w:r w:rsidR="00B132C4">
        <w:rPr>
          <w:sz w:val="24"/>
        </w:rPr>
        <w:t>Florianópolis, 14</w:t>
      </w:r>
      <w:r w:rsidRPr="00B132C4">
        <w:rPr>
          <w:sz w:val="24"/>
        </w:rPr>
        <w:t xml:space="preserve"> de </w:t>
      </w:r>
      <w:r w:rsidR="00B132C4">
        <w:rPr>
          <w:sz w:val="24"/>
        </w:rPr>
        <w:t>setembro</w:t>
      </w:r>
      <w:r w:rsidRPr="00B132C4">
        <w:rPr>
          <w:sz w:val="24"/>
        </w:rPr>
        <w:t xml:space="preserve"> de</w:t>
      </w:r>
      <w:r w:rsidRPr="00B132C4">
        <w:rPr>
          <w:spacing w:val="-14"/>
          <w:sz w:val="24"/>
        </w:rPr>
        <w:t xml:space="preserve"> </w:t>
      </w:r>
      <w:r w:rsidRPr="00B132C4">
        <w:rPr>
          <w:sz w:val="24"/>
        </w:rPr>
        <w:t>2020.</w:t>
      </w:r>
    </w:p>
    <w:p w:rsidR="00BA3741" w:rsidRDefault="00BA3741">
      <w:pPr>
        <w:pStyle w:val="Corpodetexto"/>
        <w:rPr>
          <w:sz w:val="26"/>
        </w:rPr>
      </w:pPr>
    </w:p>
    <w:p w:rsidR="00BA3741" w:rsidRDefault="00BA3741">
      <w:pPr>
        <w:pStyle w:val="Corpodetexto"/>
        <w:spacing w:before="11"/>
        <w:rPr>
          <w:sz w:val="21"/>
        </w:rPr>
      </w:pPr>
    </w:p>
    <w:p w:rsidR="00BA3741" w:rsidRDefault="00EB728C">
      <w:pPr>
        <w:ind w:left="5230" w:right="1254" w:firstLine="6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Orienta os órgãos e entidades do Poder Executivo Estadual acerca dos procedimentos a </w:t>
      </w:r>
      <w:proofErr w:type="gramStart"/>
      <w:r>
        <w:rPr>
          <w:sz w:val="24"/>
        </w:rPr>
        <w:t>serem</w:t>
      </w:r>
      <w:proofErr w:type="gramEnd"/>
      <w:r>
        <w:rPr>
          <w:sz w:val="24"/>
        </w:rPr>
        <w:t xml:space="preserve"> adotados nas aquisições e contratações, por meio de processo licitatório, dispensa ou inexigibilidade de licitação, direcionadas ao restabelecimento das edificações </w:t>
      </w:r>
      <w:r>
        <w:rPr>
          <w:sz w:val="24"/>
        </w:rPr>
        <w:t>de propriedade do Estado de Santa Catarina danificadas pelo ciclone extratropical, nos casos de calamidade pública declarada pelo Decreto</w:t>
      </w:r>
      <w:r>
        <w:rPr>
          <w:spacing w:val="-21"/>
          <w:sz w:val="24"/>
        </w:rPr>
        <w:t xml:space="preserve"> </w:t>
      </w:r>
      <w:r>
        <w:rPr>
          <w:sz w:val="24"/>
        </w:rPr>
        <w:t>nº</w:t>
      </w:r>
      <w:r>
        <w:rPr>
          <w:spacing w:val="-21"/>
          <w:sz w:val="24"/>
        </w:rPr>
        <w:t xml:space="preserve"> </w:t>
      </w:r>
      <w:r>
        <w:rPr>
          <w:sz w:val="24"/>
        </w:rPr>
        <w:t>700/2020</w:t>
      </w:r>
      <w:r>
        <w:rPr>
          <w:spacing w:val="-21"/>
          <w:sz w:val="24"/>
        </w:rPr>
        <w:t xml:space="preserve"> </w:t>
      </w:r>
      <w:r>
        <w:rPr>
          <w:sz w:val="24"/>
        </w:rPr>
        <w:t>e</w:t>
      </w:r>
      <w:r>
        <w:rPr>
          <w:spacing w:val="-2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20"/>
          <w:sz w:val="24"/>
        </w:rPr>
        <w:t xml:space="preserve"> </w:t>
      </w:r>
      <w:r>
        <w:rPr>
          <w:sz w:val="24"/>
        </w:rPr>
        <w:t>posteriores.</w:t>
      </w:r>
    </w:p>
    <w:p w:rsidR="00BA3741" w:rsidRDefault="00BA3741">
      <w:pPr>
        <w:pStyle w:val="Corpodetexto"/>
        <w:rPr>
          <w:sz w:val="26"/>
        </w:rPr>
      </w:pPr>
    </w:p>
    <w:p w:rsidR="00BA3741" w:rsidRDefault="00EB728C">
      <w:pPr>
        <w:pStyle w:val="Corpodetexto"/>
        <w:spacing w:before="217"/>
        <w:ind w:left="1261" w:right="1254" w:firstLine="851"/>
        <w:jc w:val="both"/>
      </w:pPr>
      <w:r>
        <w:t>Considerando que em 30 de junho de 2020 o Estado de Santa Catarina foi acometid</w:t>
      </w:r>
      <w:r>
        <w:t>o pela passagem de um ciclone extratropical;</w:t>
      </w:r>
    </w:p>
    <w:p w:rsidR="00BA3741" w:rsidRDefault="00BA3741">
      <w:pPr>
        <w:pStyle w:val="Corpodetexto"/>
        <w:spacing w:before="10"/>
        <w:rPr>
          <w:sz w:val="20"/>
        </w:rPr>
      </w:pPr>
    </w:p>
    <w:p w:rsidR="00BA3741" w:rsidRDefault="00EB728C">
      <w:pPr>
        <w:pStyle w:val="Corpodetexto"/>
        <w:ind w:left="1261" w:right="1254" w:firstLine="851"/>
        <w:jc w:val="both"/>
      </w:pPr>
      <w:r>
        <w:t>Considerando que o Governo do Estado de Santa Catarina declarou situação anormal,</w:t>
      </w:r>
      <w:r>
        <w:rPr>
          <w:spacing w:val="-6"/>
        </w:rPr>
        <w:t xml:space="preserve"> </w:t>
      </w:r>
      <w:r>
        <w:t>caracterizada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calamidade</w:t>
      </w:r>
      <w:r>
        <w:rPr>
          <w:spacing w:val="-6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através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700,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03 de</w:t>
      </w:r>
      <w:r>
        <w:rPr>
          <w:spacing w:val="-10"/>
        </w:rPr>
        <w:t xml:space="preserve"> </w:t>
      </w:r>
      <w:r>
        <w:t>julho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2020,</w:t>
      </w:r>
      <w:r>
        <w:rPr>
          <w:spacing w:val="-9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diversos</w:t>
      </w:r>
      <w:r>
        <w:rPr>
          <w:spacing w:val="-8"/>
        </w:rPr>
        <w:t xml:space="preserve"> </w:t>
      </w:r>
      <w:r>
        <w:t>municípios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Estado,</w:t>
      </w:r>
      <w:r>
        <w:rPr>
          <w:spacing w:val="-10"/>
        </w:rPr>
        <w:t xml:space="preserve"> </w:t>
      </w:r>
      <w:r>
        <w:t>havendo</w:t>
      </w:r>
      <w:r>
        <w:rPr>
          <w:spacing w:val="-9"/>
        </w:rPr>
        <w:t xml:space="preserve"> </w:t>
      </w:r>
      <w:r>
        <w:t>necessidade</w:t>
      </w:r>
      <w:r>
        <w:rPr>
          <w:spacing w:val="-8"/>
        </w:rPr>
        <w:t xml:space="preserve"> </w:t>
      </w:r>
      <w:r>
        <w:t>urgente</w:t>
      </w:r>
      <w:r>
        <w:rPr>
          <w:spacing w:val="-9"/>
        </w:rPr>
        <w:t xml:space="preserve"> </w:t>
      </w:r>
      <w:r>
        <w:t>de reconstrução e restabelecimento das edificações públicas</w:t>
      </w:r>
      <w:r>
        <w:rPr>
          <w:spacing w:val="-9"/>
        </w:rPr>
        <w:t xml:space="preserve"> </w:t>
      </w:r>
      <w:r>
        <w:t>afetadas;</w:t>
      </w:r>
    </w:p>
    <w:p w:rsidR="00BA3741" w:rsidRDefault="00BA3741">
      <w:pPr>
        <w:pStyle w:val="Corpodetexto"/>
        <w:spacing w:before="10"/>
        <w:rPr>
          <w:sz w:val="20"/>
        </w:rPr>
      </w:pPr>
    </w:p>
    <w:p w:rsidR="00BA3741" w:rsidRDefault="00EB728C">
      <w:pPr>
        <w:pStyle w:val="Corpodetexto"/>
        <w:ind w:left="1261" w:right="1255" w:firstLine="914"/>
        <w:jc w:val="both"/>
      </w:pPr>
      <w:r>
        <w:t>Considerando o grande aporte de recursos despendidos pelo Estado e pelo Governo Federal nas situações de emergência e calamidade pública;</w:t>
      </w:r>
    </w:p>
    <w:p w:rsidR="00BA3741" w:rsidRDefault="00BA3741">
      <w:pPr>
        <w:pStyle w:val="Corpodetexto"/>
        <w:spacing w:before="10"/>
        <w:rPr>
          <w:sz w:val="20"/>
        </w:rPr>
      </w:pPr>
    </w:p>
    <w:p w:rsidR="00BA3741" w:rsidRDefault="00EB728C">
      <w:pPr>
        <w:pStyle w:val="Corpodetexto"/>
        <w:ind w:left="1261" w:right="1254" w:firstLine="914"/>
        <w:jc w:val="both"/>
      </w:pPr>
      <w:r>
        <w:t>Considerando as fr</w:t>
      </w:r>
      <w:r>
        <w:t>equentes dúvidas e a necessidade de padronização de procedimentos de contratação de obras e serviços de engenharia, bem como as dispensas e inexigibilidades de licitação, nos casos de emergência ou de calamidade pública;</w:t>
      </w:r>
    </w:p>
    <w:p w:rsidR="00BA3741" w:rsidRDefault="00BA3741">
      <w:pPr>
        <w:pStyle w:val="Corpodetexto"/>
        <w:spacing w:before="9"/>
        <w:rPr>
          <w:sz w:val="12"/>
        </w:rPr>
      </w:pPr>
    </w:p>
    <w:p w:rsidR="00BA3741" w:rsidRDefault="00EB728C">
      <w:pPr>
        <w:pStyle w:val="Corpodetexto"/>
        <w:spacing w:before="93"/>
        <w:ind w:left="1261" w:right="1253" w:firstLine="914"/>
        <w:jc w:val="both"/>
      </w:pPr>
      <w:r>
        <w:t xml:space="preserve">A Controladoria-Geral do Estado - </w:t>
      </w:r>
      <w:r>
        <w:t>CGE, por meio da Gerência de Auditoria de Licitações e Contratos - GEALC, com fulcro no que estabelecem a Constituição do Estado de Santa Catarina, arts. 58 e 62; a Lei Complementar nº 741, de 12 de junho de</w:t>
      </w:r>
      <w:r>
        <w:rPr>
          <w:spacing w:val="-10"/>
        </w:rPr>
        <w:t xml:space="preserve"> </w:t>
      </w:r>
      <w:r>
        <w:t>2019;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Decreto</w:t>
      </w:r>
      <w:r>
        <w:rPr>
          <w:spacing w:val="-10"/>
        </w:rPr>
        <w:t xml:space="preserve"> </w:t>
      </w:r>
      <w:r>
        <w:t>nº</w:t>
      </w:r>
      <w:r>
        <w:rPr>
          <w:spacing w:val="-9"/>
        </w:rPr>
        <w:t xml:space="preserve"> </w:t>
      </w:r>
      <w:r>
        <w:t>2.056,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janeiro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2009,</w:t>
      </w:r>
      <w:r>
        <w:rPr>
          <w:spacing w:val="-10"/>
        </w:rPr>
        <w:t xml:space="preserve"> </w:t>
      </w:r>
      <w:r>
        <w:t>orienta</w:t>
      </w:r>
      <w:r>
        <w:rPr>
          <w:spacing w:val="-9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órgãos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 xml:space="preserve">entidades </w:t>
      </w:r>
      <w:r>
        <w:rPr>
          <w:sz w:val="24"/>
        </w:rPr>
        <w:t xml:space="preserve">do Poder Executivo Estadual </w:t>
      </w:r>
      <w:r>
        <w:t>acerca dos principais procedimentos nas aquisições e contratações</w:t>
      </w:r>
      <w:r>
        <w:rPr>
          <w:sz w:val="24"/>
        </w:rPr>
        <w:t xml:space="preserve">, por meio de processo licitatório, dispensa ou inexigibilidade de licitação, </w:t>
      </w:r>
      <w:r>
        <w:t>direcionadas à reconstrução e restabelecimento da</w:t>
      </w:r>
      <w:r>
        <w:t>s edificações de propriedade do Estado de Santa Catarina danificadas, desde que fundamentadas na situação de calamidade declarada pelo Decreto nº 700/2020 e alterações posteriores, e somente para os municípios nele</w:t>
      </w:r>
      <w:r>
        <w:rPr>
          <w:spacing w:val="-5"/>
        </w:rPr>
        <w:t xml:space="preserve"> </w:t>
      </w:r>
      <w:r>
        <w:t>declarados.</w:t>
      </w:r>
    </w:p>
    <w:p w:rsidR="00BA3741" w:rsidRDefault="00BA3741">
      <w:pPr>
        <w:jc w:val="both"/>
        <w:sectPr w:rsidR="00BA3741">
          <w:headerReference w:type="default" r:id="rId8"/>
          <w:footerReference w:type="default" r:id="rId9"/>
          <w:type w:val="continuous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EB728C">
      <w:pPr>
        <w:pStyle w:val="Ttulo1"/>
        <w:spacing w:before="83"/>
        <w:ind w:left="1648" w:right="1642"/>
        <w:jc w:val="center"/>
      </w:pPr>
      <w:r>
        <w:lastRenderedPageBreak/>
        <w:t>CHECK LIST DE PROCEDIMENTOS/INSTRUÇÃO PROCESSUAL DE CONTRATAÇÃO DE SERVIÇOS DE REFORMA E RECONSTRUÇÃO DE EDIFICAÇÕES DE PROPRIEDADE DO ESTADO DE SANTA CATARINA DESTINADAS EXCLUSIVAMENTE À RECUPERAÇÃO DE DANOS CAUSADOS PELO CICLONE EXTRATROPICAL DE 30/06/20</w:t>
      </w:r>
      <w:r>
        <w:t>20.</w:t>
      </w:r>
    </w:p>
    <w:p w:rsidR="00BA3741" w:rsidRDefault="00BA3741">
      <w:pPr>
        <w:pStyle w:val="Corpodetexto"/>
        <w:rPr>
          <w:b/>
          <w:sz w:val="20"/>
        </w:rPr>
      </w:pPr>
    </w:p>
    <w:p w:rsidR="00BA3741" w:rsidRDefault="00BA3741">
      <w:pPr>
        <w:pStyle w:val="Corpodetexto"/>
        <w:rPr>
          <w:b/>
          <w:sz w:val="20"/>
        </w:rPr>
      </w:pPr>
    </w:p>
    <w:p w:rsidR="00BA3741" w:rsidRDefault="00BA3741">
      <w:pPr>
        <w:pStyle w:val="Corpodetex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4960"/>
        <w:gridCol w:w="1370"/>
        <w:gridCol w:w="275"/>
        <w:gridCol w:w="1971"/>
        <w:gridCol w:w="1329"/>
      </w:tblGrid>
      <w:tr w:rsidR="00BA3741">
        <w:trPr>
          <w:trHeight w:val="425"/>
        </w:trPr>
        <w:tc>
          <w:tcPr>
            <w:tcW w:w="6119" w:type="dxa"/>
            <w:gridSpan w:val="2"/>
          </w:tcPr>
          <w:p w:rsidR="00BA3741" w:rsidRDefault="00EB728C">
            <w:pPr>
              <w:pStyle w:val="TableParagraph"/>
              <w:rPr>
                <w:b/>
              </w:rPr>
            </w:pPr>
            <w:r>
              <w:rPr>
                <w:b/>
              </w:rPr>
              <w:t>Processo SGP-e:</w:t>
            </w:r>
          </w:p>
        </w:tc>
        <w:tc>
          <w:tcPr>
            <w:tcW w:w="4945" w:type="dxa"/>
            <w:gridSpan w:val="4"/>
          </w:tcPr>
          <w:p w:rsidR="00BA3741" w:rsidRDefault="00EB728C">
            <w:pPr>
              <w:pStyle w:val="TableParagraph"/>
            </w:pPr>
            <w:r>
              <w:rPr>
                <w:b/>
              </w:rPr>
              <w:t>Valor:</w:t>
            </w:r>
            <w:r>
              <w:rPr>
                <w:b/>
                <w:spacing w:val="61"/>
              </w:rPr>
              <w:t xml:space="preserve"> </w:t>
            </w:r>
            <w:r>
              <w:t>R$</w:t>
            </w:r>
          </w:p>
        </w:tc>
      </w:tr>
      <w:tr w:rsidR="00BA3741">
        <w:trPr>
          <w:trHeight w:val="415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  <w:rPr>
                <w:b/>
              </w:rPr>
            </w:pPr>
            <w:r>
              <w:rPr>
                <w:b/>
              </w:rPr>
              <w:t>Número do Edital:</w:t>
            </w:r>
          </w:p>
        </w:tc>
      </w:tr>
      <w:tr w:rsidR="00BA3741">
        <w:trPr>
          <w:trHeight w:val="704"/>
        </w:trPr>
        <w:tc>
          <w:tcPr>
            <w:tcW w:w="7764" w:type="dxa"/>
            <w:gridSpan w:val="4"/>
          </w:tcPr>
          <w:p w:rsidR="00BA3741" w:rsidRDefault="00EB728C">
            <w:pPr>
              <w:pStyle w:val="TableParagraph"/>
              <w:rPr>
                <w:b/>
              </w:rPr>
            </w:pPr>
            <w:r>
              <w:rPr>
                <w:b/>
              </w:rPr>
              <w:t>Objeto:</w:t>
            </w:r>
          </w:p>
        </w:tc>
        <w:tc>
          <w:tcPr>
            <w:tcW w:w="3300" w:type="dxa"/>
            <w:gridSpan w:val="2"/>
          </w:tcPr>
          <w:p w:rsidR="00BA3741" w:rsidRDefault="00EB728C">
            <w:pPr>
              <w:pStyle w:val="TableParagraph"/>
              <w:rPr>
                <w:b/>
              </w:rPr>
            </w:pPr>
            <w:r>
              <w:rPr>
                <w:b/>
              </w:rPr>
              <w:t>Data de análise:</w:t>
            </w:r>
          </w:p>
        </w:tc>
      </w:tr>
      <w:tr w:rsidR="00BA3741">
        <w:trPr>
          <w:trHeight w:val="758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  <w:ind w:left="2644" w:right="2635"/>
              <w:jc w:val="center"/>
              <w:rPr>
                <w:b/>
              </w:rPr>
            </w:pPr>
            <w:r>
              <w:rPr>
                <w:b/>
              </w:rPr>
              <w:t>DESEJÁVEL= resposta “SIM” ou “N/A” = Não se aplica</w:t>
            </w:r>
          </w:p>
          <w:p w:rsidR="00BA3741" w:rsidRDefault="00EB728C">
            <w:pPr>
              <w:pStyle w:val="TableParagraph"/>
              <w:spacing w:line="250" w:lineRule="atLeast"/>
              <w:ind w:left="263" w:right="248" w:hanging="3"/>
              <w:jc w:val="center"/>
              <w:rPr>
                <w:b/>
              </w:rPr>
            </w:pPr>
            <w:r>
              <w:rPr>
                <w:b/>
              </w:rPr>
              <w:t>Respostas “SIM” indicam que o documento e/ou procedimento foram identificados no processo, e respostas “NÃO” indicam falta de documentação e/ou procedimento, não identificados no processo.</w:t>
            </w:r>
          </w:p>
        </w:tc>
      </w:tr>
      <w:tr w:rsidR="00BA3741">
        <w:trPr>
          <w:trHeight w:val="312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  <w:rPr>
                <w:b/>
              </w:rPr>
            </w:pPr>
            <w:r>
              <w:rPr>
                <w:b/>
              </w:rPr>
              <w:t>Passo</w:t>
            </w:r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ind w:left="2332" w:right="2322"/>
              <w:jc w:val="center"/>
              <w:rPr>
                <w:b/>
              </w:rPr>
            </w:pPr>
            <w:r>
              <w:rPr>
                <w:b/>
              </w:rPr>
              <w:t>FASE INTERNA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ind w:left="554"/>
              <w:rPr>
                <w:b/>
              </w:rPr>
            </w:pPr>
            <w:r>
              <w:rPr>
                <w:b/>
              </w:rPr>
              <w:t>Legislação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Respostas</w:t>
            </w:r>
          </w:p>
        </w:tc>
      </w:tr>
      <w:tr w:rsidR="00BA3741">
        <w:trPr>
          <w:trHeight w:val="1517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ind w:left="108" w:right="95"/>
              <w:jc w:val="both"/>
            </w:pPr>
            <w:r>
              <w:t>A contratação refere-se a serviços de reforma ou reconstrução de edificações de propriedade do Estado de Santa Catarina destinadas exclusivamente à recuperação de danos causados pelo ciclone extratropical de 30/06/2020?</w:t>
            </w:r>
          </w:p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spacing w:line="233" w:lineRule="exact"/>
              <w:ind w:left="108"/>
              <w:jc w:val="both"/>
              <w:rPr>
                <w:i/>
              </w:rPr>
            </w:pPr>
            <w:r>
              <w:rPr>
                <w:i/>
              </w:rPr>
              <w:t>Se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resposta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for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“NÃO”,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ESSE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CHECK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LIST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</w:rPr>
              <w:t>NÃO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SE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APLICA.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tabs>
                <w:tab w:val="left" w:pos="1934"/>
              </w:tabs>
            </w:pPr>
            <w:r>
              <w:t>Decreto</w:t>
            </w:r>
            <w:r>
              <w:tab/>
              <w:t>nº</w:t>
            </w:r>
          </w:p>
          <w:p w:rsidR="00BA3741" w:rsidRDefault="00EB728C">
            <w:pPr>
              <w:pStyle w:val="TableParagraph"/>
            </w:pPr>
            <w:r>
              <w:t>700/2020, Art. 1º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0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98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69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ind w:left="108" w:right="68"/>
            </w:pPr>
            <w:r>
              <w:t>Foi declarada situação anormal no município em que se encontra a edificação a ser reformada ou reconstruída?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tabs>
                <w:tab w:val="left" w:pos="1934"/>
              </w:tabs>
            </w:pPr>
            <w:r>
              <w:t>Decreto</w:t>
            </w:r>
            <w:r>
              <w:tab/>
              <w:t>nº</w:t>
            </w:r>
          </w:p>
          <w:p w:rsidR="00BA3741" w:rsidRDefault="00EB728C">
            <w:pPr>
              <w:pStyle w:val="TableParagraph"/>
            </w:pPr>
            <w:r>
              <w:t>700/2020, Art. 1º</w:t>
            </w:r>
          </w:p>
          <w:p w:rsidR="00BA3741" w:rsidRDefault="00EB728C">
            <w:pPr>
              <w:pStyle w:val="TableParagraph"/>
              <w:spacing w:line="243" w:lineRule="exact"/>
            </w:pPr>
            <w:r>
              <w:t>Decreto nº 718/2020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31"/>
              <w:ind w:right="336"/>
            </w:pPr>
            <w:r>
              <w:t>Escolher um item.</w:t>
            </w:r>
          </w:p>
        </w:tc>
      </w:tr>
      <w:tr w:rsidR="00BA3741">
        <w:trPr>
          <w:trHeight w:val="798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057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spacing w:line="249" w:lineRule="auto"/>
              <w:ind w:left="103" w:right="95"/>
              <w:jc w:val="both"/>
            </w:pPr>
            <w:r>
              <w:t>O processo foi aberto digitalmente no SGP-e com o assunto “1267 – Aquisições e contratações”, classe “151- Processo sobre Ciclone Extratropical 2020</w:t>
            </w:r>
            <w:proofErr w:type="gramStart"/>
            <w:r>
              <w:t>”e</w:t>
            </w:r>
            <w:proofErr w:type="gramEnd"/>
            <w:r>
              <w:t xml:space="preserve"> consta o preenchimento do Cadastro de Informações Gerenciais (CIG) do SGP-e?</w:t>
            </w:r>
          </w:p>
          <w:p w:rsidR="00BA3741" w:rsidRDefault="00EB728C">
            <w:pPr>
              <w:pStyle w:val="TableParagraph"/>
              <w:spacing w:before="107" w:line="249" w:lineRule="auto"/>
              <w:ind w:left="103" w:right="95"/>
              <w:jc w:val="both"/>
            </w:pPr>
            <w:r>
              <w:rPr>
                <w:b/>
              </w:rPr>
              <w:t xml:space="preserve">Obs: </w:t>
            </w:r>
            <w:r>
              <w:t>Para os processos cujos</w:t>
            </w:r>
            <w:r>
              <w:t xml:space="preserve"> cadastros no SGP-e já tenham sido realizados, deverá ser realizada a adequação em “Alterar Dados”.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ind w:right="96"/>
              <w:jc w:val="both"/>
            </w:pPr>
            <w:r>
              <w:t>Decreto nº 49/2015, art. 6º</w:t>
            </w:r>
          </w:p>
          <w:p w:rsidR="00BA3741" w:rsidRDefault="00EB728C">
            <w:pPr>
              <w:pStyle w:val="TableParagraph"/>
              <w:ind w:right="96"/>
              <w:jc w:val="both"/>
            </w:pPr>
            <w:r>
              <w:t>IN Conjunta CGE / SEA/SEF nº 001 / 2020, Art. 3º.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831"/>
        </w:trPr>
        <w:tc>
          <w:tcPr>
            <w:tcW w:w="11064" w:type="dxa"/>
            <w:gridSpan w:val="6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770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6330" w:type="dxa"/>
            <w:gridSpan w:val="2"/>
          </w:tcPr>
          <w:p w:rsidR="00BA3741" w:rsidRDefault="00EB728C">
            <w:pPr>
              <w:pStyle w:val="TableParagraph"/>
              <w:ind w:left="108" w:right="96"/>
              <w:jc w:val="both"/>
            </w:pPr>
            <w:r>
              <w:t>O processo está instruído com, no mínimo, os seguintes documentos?</w:t>
            </w:r>
          </w:p>
          <w:p w:rsidR="00BA3741" w:rsidRDefault="00EB728C">
            <w:pPr>
              <w:pStyle w:val="TableParagraph"/>
              <w:spacing w:before="120"/>
              <w:ind w:left="108" w:right="96"/>
              <w:jc w:val="both"/>
            </w:pPr>
            <w:r>
              <w:t>a) Requisição do material, obras ou serviços com descrição sucinta e clara do objeto, acompanhada das razões de interesse</w:t>
            </w:r>
            <w:r>
              <w:rPr>
                <w:spacing w:val="-12"/>
              </w:rPr>
              <w:t xml:space="preserve"> </w:t>
            </w:r>
            <w:r>
              <w:t>público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justifiquem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contratação</w:t>
            </w:r>
            <w:r>
              <w:rPr>
                <w:spacing w:val="-11"/>
              </w:rPr>
              <w:t xml:space="preserve"> </w:t>
            </w:r>
            <w:r>
              <w:t>em</w:t>
            </w:r>
            <w:r>
              <w:rPr>
                <w:spacing w:val="-12"/>
              </w:rPr>
              <w:t xml:space="preserve"> </w:t>
            </w:r>
            <w:r>
              <w:t>decorrência da situação em</w:t>
            </w:r>
            <w:r>
              <w:t>ergencial causada pelo ciclone</w:t>
            </w:r>
            <w:r>
              <w:rPr>
                <w:spacing w:val="-18"/>
              </w:rPr>
              <w:t xml:space="preserve"> </w:t>
            </w:r>
            <w:r>
              <w:t>extratropical;</w:t>
            </w:r>
          </w:p>
        </w:tc>
        <w:tc>
          <w:tcPr>
            <w:tcW w:w="2246" w:type="dxa"/>
            <w:gridSpan w:val="2"/>
          </w:tcPr>
          <w:p w:rsidR="00BA3741" w:rsidRDefault="00EB728C">
            <w:pPr>
              <w:pStyle w:val="TableParagraph"/>
              <w:tabs>
                <w:tab w:val="left" w:pos="839"/>
                <w:tab w:val="left" w:pos="1868"/>
              </w:tabs>
              <w:ind w:right="96"/>
            </w:pPr>
            <w:r>
              <w:t>Lei nº 8.666/93, Art. 6º,</w:t>
            </w:r>
            <w:r>
              <w:tab/>
              <w:t>inciso</w:t>
            </w:r>
            <w:r>
              <w:tab/>
            </w:r>
            <w:r>
              <w:rPr>
                <w:spacing w:val="-7"/>
              </w:rPr>
              <w:t xml:space="preserve">IX; </w:t>
            </w:r>
            <w:r>
              <w:t>Resolução CONFEA, nº</w:t>
            </w:r>
            <w:r>
              <w:rPr>
                <w:spacing w:val="-20"/>
              </w:rPr>
              <w:t xml:space="preserve"> </w:t>
            </w:r>
            <w:r>
              <w:t>361/91;</w:t>
            </w:r>
          </w:p>
          <w:p w:rsidR="00BA3741" w:rsidRDefault="00EB728C">
            <w:pPr>
              <w:pStyle w:val="TableParagraph"/>
              <w:spacing w:line="250" w:lineRule="atLeast"/>
              <w:ind w:right="96"/>
              <w:jc w:val="both"/>
            </w:pPr>
            <w:r>
              <w:t>Resolução CAU n° 91/2014; Decreto nº 49/2015,</w:t>
            </w:r>
            <w:proofErr w:type="gramStart"/>
            <w:r>
              <w:t xml:space="preserve">  </w:t>
            </w:r>
            <w:proofErr w:type="gramEnd"/>
            <w:r>
              <w:t>art.  8º,</w:t>
            </w:r>
            <w:r>
              <w:rPr>
                <w:spacing w:val="29"/>
              </w:rPr>
              <w:t xml:space="preserve"> </w:t>
            </w:r>
            <w:r>
              <w:t>III;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spacing w:before="11"/>
              <w:ind w:left="0"/>
              <w:rPr>
                <w:b/>
                <w:sz w:val="30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</w:tbl>
    <w:p w:rsidR="00BA3741" w:rsidRDefault="00BA3741">
      <w:pPr>
        <w:sectPr w:rsidR="00BA3741">
          <w:headerReference w:type="default" r:id="rId10"/>
          <w:footerReference w:type="default" r:id="rId11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BA3741">
      <w:pPr>
        <w:pStyle w:val="Corpodetexto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30"/>
        <w:gridCol w:w="2246"/>
        <w:gridCol w:w="1329"/>
      </w:tblGrid>
      <w:tr w:rsidR="00BA3741">
        <w:trPr>
          <w:trHeight w:val="6259"/>
        </w:trPr>
        <w:tc>
          <w:tcPr>
            <w:tcW w:w="1159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76"/>
              </w:tabs>
              <w:ind w:right="95" w:firstLine="0"/>
              <w:jc w:val="both"/>
            </w:pPr>
            <w:r>
              <w:t>Laudo técnico identificando a área atingida, com o relatório de danos causados, emitido por profissional habilitado com a respectiva Anotação de Responsabilidade Técnica (ART) Conselho Regional de Engenharia e Agronomia (CREA), Registro de Responsabilidade</w:t>
            </w:r>
            <w:r>
              <w:t xml:space="preserve"> Técnica (RRT) ou Conselho Regional de Arquitetura</w:t>
            </w:r>
            <w:r>
              <w:rPr>
                <w:spacing w:val="57"/>
              </w:rPr>
              <w:t xml:space="preserve"> </w:t>
            </w:r>
            <w:r>
              <w:t>(CAU);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before="120"/>
              <w:ind w:right="96" w:firstLine="0"/>
              <w:jc w:val="both"/>
            </w:pPr>
            <w:r>
              <w:t>Elaboração de implantação ou croqui(s) identificando a(s) área(s)</w:t>
            </w:r>
            <w:r>
              <w:rPr>
                <w:spacing w:val="-2"/>
              </w:rPr>
              <w:t xml:space="preserve"> </w:t>
            </w:r>
            <w:r>
              <w:t>afetada(s);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20"/>
              <w:ind w:left="364" w:hanging="257"/>
              <w:jc w:val="both"/>
            </w:pPr>
            <w:r>
              <w:t>Projeto básico com ART ou</w:t>
            </w:r>
            <w:r>
              <w:rPr>
                <w:spacing w:val="-2"/>
              </w:rPr>
              <w:t xml:space="preserve"> </w:t>
            </w:r>
            <w:r>
              <w:t>RRT;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20"/>
              <w:ind w:left="364" w:hanging="257"/>
              <w:jc w:val="both"/>
            </w:pPr>
            <w:r>
              <w:t>Memorial</w:t>
            </w:r>
            <w:r>
              <w:rPr>
                <w:spacing w:val="-2"/>
              </w:rPr>
              <w:t xml:space="preserve"> </w:t>
            </w:r>
            <w:r>
              <w:t>descritivo;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22"/>
              </w:tabs>
              <w:spacing w:before="120"/>
              <w:ind w:right="96" w:firstLine="0"/>
              <w:jc w:val="both"/>
            </w:pPr>
            <w:r>
              <w:t>Cópia da publicação do Decreto de declaração de situação de emergênc</w:t>
            </w:r>
            <w:r>
              <w:t>ia ou de estado de</w:t>
            </w:r>
            <w:r>
              <w:rPr>
                <w:spacing w:val="-9"/>
              </w:rPr>
              <w:t xml:space="preserve"> </w:t>
            </w:r>
            <w:r>
              <w:t>calamidade;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spacing w:before="120"/>
              <w:ind w:left="364" w:hanging="257"/>
              <w:jc w:val="both"/>
            </w:pPr>
            <w:r>
              <w:t>Planilha Orçamentária com ART ou</w:t>
            </w:r>
            <w:r>
              <w:rPr>
                <w:spacing w:val="-6"/>
              </w:rPr>
              <w:t xml:space="preserve"> </w:t>
            </w:r>
            <w:r>
              <w:t>RRT;</w:t>
            </w:r>
          </w:p>
          <w:p w:rsidR="00BA3741" w:rsidRDefault="00EB728C">
            <w:pPr>
              <w:pStyle w:val="TableParagraph"/>
              <w:numPr>
                <w:ilvl w:val="0"/>
                <w:numId w:val="3"/>
              </w:numPr>
              <w:tabs>
                <w:tab w:val="left" w:pos="361"/>
              </w:tabs>
              <w:spacing w:before="120"/>
              <w:ind w:right="97" w:firstLine="0"/>
              <w:jc w:val="both"/>
            </w:pPr>
            <w:r>
              <w:t>Minuta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edital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dispensa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inexigibilidade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licitação, com o respectivo Termo de</w:t>
            </w:r>
            <w:r>
              <w:rPr>
                <w:spacing w:val="-4"/>
              </w:rPr>
              <w:t xml:space="preserve"> </w:t>
            </w:r>
            <w:r>
              <w:t>Referência;</w:t>
            </w:r>
          </w:p>
          <w:p w:rsidR="00BA3741" w:rsidRDefault="00EB728C">
            <w:pPr>
              <w:pStyle w:val="TableParagraph"/>
              <w:spacing w:before="120"/>
              <w:ind w:left="108"/>
              <w:jc w:val="both"/>
            </w:pPr>
            <w:r>
              <w:t>i) Minuta do contrato;</w:t>
            </w:r>
          </w:p>
          <w:p w:rsidR="00BA3741" w:rsidRDefault="00EB728C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</w:tabs>
              <w:spacing w:before="120"/>
              <w:ind w:right="96" w:firstLine="0"/>
              <w:jc w:val="both"/>
            </w:pPr>
            <w:r>
              <w:t>Parecer Jurídico sobre a licitação</w:t>
            </w:r>
            <w:proofErr w:type="gramStart"/>
            <w:r>
              <w:t>, dispensa</w:t>
            </w:r>
            <w:proofErr w:type="gramEnd"/>
            <w:r>
              <w:t xml:space="preserve"> ou inexigibilidade, que contemple a minuta de edital de licitação e contrato;</w:t>
            </w:r>
          </w:p>
          <w:p w:rsidR="00BA3741" w:rsidRDefault="00EB728C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before="120"/>
              <w:ind w:left="352" w:hanging="245"/>
              <w:jc w:val="both"/>
            </w:pPr>
            <w:r>
              <w:t>Autorização do Grupo Gestor de Governo</w:t>
            </w:r>
            <w:r>
              <w:rPr>
                <w:spacing w:val="-5"/>
              </w:rPr>
              <w:t xml:space="preserve"> </w:t>
            </w:r>
            <w:r>
              <w:t>(GGG).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Resolução GGG nº 4/2017, art. 1º, II.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3741">
        <w:trPr>
          <w:trHeight w:val="896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023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/>
              <w:jc w:val="both"/>
            </w:pPr>
            <w:r>
              <w:t>Há elaboração de projeto básico para obras e serviços?</w:t>
            </w:r>
          </w:p>
          <w:p w:rsidR="00BA3741" w:rsidRDefault="00EB728C">
            <w:pPr>
              <w:pStyle w:val="TableParagraph"/>
              <w:spacing w:line="250" w:lineRule="atLeast"/>
              <w:ind w:left="108" w:right="95"/>
              <w:jc w:val="both"/>
            </w:pPr>
            <w:r>
              <w:t xml:space="preserve">Obs: Este poderá ser dispensado nos casos de emergência, </w:t>
            </w:r>
            <w:r>
              <w:rPr>
                <w:b/>
              </w:rPr>
              <w:t>quando caracterizada a urgência de atendimento de situação que possa ocasionar prejuízo ou comprometer a segurança de pessoas</w:t>
            </w:r>
            <w:r>
              <w:t>, obras, serviços, equipamentos e outros bens, públicos e privados. O responsável técnico do órgão</w:t>
            </w:r>
            <w:r>
              <w:rPr>
                <w:spacing w:val="-17"/>
              </w:rPr>
              <w:t xml:space="preserve"> </w:t>
            </w:r>
            <w:r>
              <w:t>contratante</w:t>
            </w:r>
            <w:r>
              <w:rPr>
                <w:spacing w:val="-16"/>
              </w:rPr>
              <w:t xml:space="preserve"> </w:t>
            </w:r>
            <w:r>
              <w:t>deverá</w:t>
            </w:r>
            <w:r>
              <w:rPr>
                <w:spacing w:val="-16"/>
              </w:rPr>
              <w:t xml:space="preserve"> </w:t>
            </w:r>
            <w:r>
              <w:t>justificar</w:t>
            </w:r>
            <w:r>
              <w:rPr>
                <w:spacing w:val="-16"/>
              </w:rPr>
              <w:t xml:space="preserve"> 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urgência</w:t>
            </w:r>
            <w:r>
              <w:rPr>
                <w:spacing w:val="-17"/>
              </w:rPr>
              <w:t xml:space="preserve"> </w:t>
            </w:r>
            <w:r>
              <w:t>para</w:t>
            </w:r>
            <w:r>
              <w:rPr>
                <w:spacing w:val="-16"/>
              </w:rPr>
              <w:t xml:space="preserve"> </w:t>
            </w:r>
            <w:r>
              <w:t>atendimento dos casos de emergência, emitindo respectivo laudo</w:t>
            </w:r>
            <w:r>
              <w:rPr>
                <w:spacing w:val="-14"/>
              </w:rPr>
              <w:t xml:space="preserve"> </w:t>
            </w:r>
            <w:r>
              <w:t>técnico.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</w:pPr>
            <w:r>
              <w:t>Lei nº 8.666/93, art. 7º e parágrafo 2º; Resolução CONFEA, nº</w:t>
            </w:r>
            <w:r>
              <w:rPr>
                <w:spacing w:val="-19"/>
              </w:rPr>
              <w:t xml:space="preserve"> </w:t>
            </w:r>
            <w:r>
              <w:t>361/91,</w:t>
            </w:r>
          </w:p>
          <w:p w:rsidR="00BA3741" w:rsidRDefault="00EB728C">
            <w:pPr>
              <w:pStyle w:val="TableParagraph"/>
            </w:pPr>
            <w:proofErr w:type="gramStart"/>
            <w:r>
              <w:t>art.</w:t>
            </w:r>
            <w:proofErr w:type="gramEnd"/>
            <w:r>
              <w:t xml:space="preserve"> 5º, III, parágrafo único.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EB728C">
            <w:pPr>
              <w:pStyle w:val="TableParagraph"/>
              <w:spacing w:before="207"/>
              <w:ind w:right="336"/>
            </w:pPr>
            <w:r>
              <w:t>Escolher um item.</w:t>
            </w:r>
          </w:p>
        </w:tc>
      </w:tr>
      <w:tr w:rsidR="00BA3741">
        <w:trPr>
          <w:trHeight w:val="945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264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6"/>
              <w:jc w:val="both"/>
            </w:pPr>
            <w:r>
              <w:t xml:space="preserve">Há especificação do objeto com a definição das unidades, orçamento detalhado com as quantidades a serem </w:t>
            </w:r>
            <w:proofErr w:type="gramStart"/>
            <w:r>
              <w:t>adquiridas e respectivos</w:t>
            </w:r>
            <w:proofErr w:type="gramEnd"/>
            <w:r>
              <w:t xml:space="preserve"> preços de referência, conforme a natureza do objeto?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  <w:jc w:val="both"/>
            </w:pPr>
            <w:r>
              <w:t>Lei 8.666/93, art. 7º e 14;</w:t>
            </w:r>
          </w:p>
          <w:p w:rsidR="00BA3741" w:rsidRDefault="00EB728C">
            <w:pPr>
              <w:pStyle w:val="TableParagraph"/>
              <w:spacing w:line="250" w:lineRule="atLeast"/>
              <w:ind w:right="95"/>
              <w:jc w:val="both"/>
            </w:pPr>
            <w:r>
              <w:t>Tabelas SICRO (infraestrutura) e SINAP (edificações).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945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011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9"/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tabs>
                <w:tab w:val="left" w:pos="605"/>
                <w:tab w:val="left" w:pos="1897"/>
                <w:tab w:val="left" w:pos="2358"/>
                <w:tab w:val="left" w:pos="3186"/>
                <w:tab w:val="left" w:pos="4723"/>
                <w:tab w:val="left" w:pos="5172"/>
                <w:tab w:val="left" w:pos="6049"/>
              </w:tabs>
              <w:ind w:left="108" w:right="97"/>
            </w:pPr>
            <w:r>
              <w:t>Há</w:t>
            </w:r>
            <w:r>
              <w:tab/>
              <w:t>justificativa</w:t>
            </w:r>
            <w:r>
              <w:tab/>
              <w:t>do</w:t>
            </w:r>
            <w:r>
              <w:tab/>
              <w:t>preço,</w:t>
            </w:r>
            <w:r>
              <w:tab/>
              <w:t>considerando</w:t>
            </w:r>
            <w:r>
              <w:tab/>
              <w:t>os</w:t>
            </w:r>
            <w:r>
              <w:tab/>
              <w:t>preços</w:t>
            </w:r>
            <w:r>
              <w:tab/>
            </w:r>
            <w:r>
              <w:rPr>
                <w:spacing w:val="-9"/>
              </w:rPr>
              <w:t xml:space="preserve">já </w:t>
            </w:r>
            <w:r>
              <w:t>contratados pelo Estado de SC em demandas</w:t>
            </w:r>
            <w:r>
              <w:rPr>
                <w:spacing w:val="-14"/>
              </w:rPr>
              <w:t xml:space="preserve"> </w:t>
            </w:r>
            <w:r>
              <w:t>anteriores?</w:t>
            </w:r>
          </w:p>
          <w:p w:rsidR="00BA3741" w:rsidRDefault="00EB728C">
            <w:pPr>
              <w:pStyle w:val="TableParagraph"/>
              <w:spacing w:line="250" w:lineRule="atLeast"/>
              <w:ind w:left="108" w:right="68"/>
            </w:pPr>
            <w:r>
              <w:t>Obs: Na falta deste, considerar os preços de referência de tabelas de preços (SICRO e SINAP). Em terceira situação,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  <w:jc w:val="both"/>
            </w:pPr>
            <w:r>
              <w:t xml:space="preserve">Lei n. 8.666/93, art. 25, § 2º, e art. 26, caput, e § único, </w:t>
            </w:r>
            <w:proofErr w:type="gramStart"/>
            <w:r>
              <w:t>III</w:t>
            </w:r>
            <w:proofErr w:type="gramEnd"/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</w:tbl>
    <w:p w:rsidR="00BA3741" w:rsidRDefault="00BA3741">
      <w:pPr>
        <w:sectPr w:rsidR="00BA3741">
          <w:headerReference w:type="default" r:id="rId12"/>
          <w:footerReference w:type="default" r:id="rId13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BA3741">
      <w:pPr>
        <w:pStyle w:val="Corpodetexto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30"/>
        <w:gridCol w:w="2246"/>
        <w:gridCol w:w="1329"/>
      </w:tblGrid>
      <w:tr w:rsidR="00BA3741">
        <w:trPr>
          <w:trHeight w:val="1011"/>
        </w:trPr>
        <w:tc>
          <w:tcPr>
            <w:tcW w:w="1159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spacing w:line="250" w:lineRule="atLeast"/>
              <w:ind w:left="108" w:right="96"/>
              <w:jc w:val="both"/>
            </w:pPr>
            <w:proofErr w:type="gramStart"/>
            <w:r>
              <w:t>considerar</w:t>
            </w:r>
            <w:proofErr w:type="gramEnd"/>
            <w:r>
              <w:t xml:space="preserve"> a prática de mercado. Quando houver outros possíveis</w:t>
            </w:r>
            <w:r>
              <w:rPr>
                <w:spacing w:val="-8"/>
              </w:rPr>
              <w:t xml:space="preserve"> </w:t>
            </w:r>
            <w:r>
              <w:t>fornecedores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prestadores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serviços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obra, é</w:t>
            </w:r>
            <w:r>
              <w:rPr>
                <w:spacing w:val="-9"/>
              </w:rPr>
              <w:t xml:space="preserve"> </w:t>
            </w:r>
            <w:r>
              <w:t>recomendável</w:t>
            </w:r>
            <w:r>
              <w:rPr>
                <w:spacing w:val="-8"/>
              </w:rPr>
              <w:t xml:space="preserve"> </w:t>
            </w:r>
            <w:r>
              <w:t>juntar</w:t>
            </w:r>
            <w:r>
              <w:rPr>
                <w:spacing w:val="-8"/>
              </w:rPr>
              <w:t xml:space="preserve"> </w:t>
            </w:r>
            <w:r>
              <w:t>aos</w:t>
            </w:r>
            <w:r>
              <w:rPr>
                <w:spacing w:val="-8"/>
              </w:rPr>
              <w:t xml:space="preserve"> </w:t>
            </w:r>
            <w:r>
              <w:t>autos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processo</w:t>
            </w:r>
            <w:r>
              <w:rPr>
                <w:spacing w:val="-8"/>
              </w:rPr>
              <w:t xml:space="preserve"> </w:t>
            </w:r>
            <w:r>
              <w:t>três</w:t>
            </w:r>
            <w:r>
              <w:rPr>
                <w:spacing w:val="-8"/>
              </w:rPr>
              <w:t xml:space="preserve"> </w:t>
            </w:r>
            <w:r>
              <w:t>orçamentos, escolhendo o de menor</w:t>
            </w:r>
            <w:r>
              <w:rPr>
                <w:spacing w:val="-5"/>
              </w:rPr>
              <w:t xml:space="preserve"> </w:t>
            </w:r>
            <w:r>
              <w:t>preço.</w:t>
            </w:r>
          </w:p>
        </w:tc>
        <w:tc>
          <w:tcPr>
            <w:tcW w:w="2246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A3741">
        <w:trPr>
          <w:trHeight w:val="758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58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506"/>
              <w:jc w:val="right"/>
            </w:pPr>
            <w:proofErr w:type="gramStart"/>
            <w:r>
              <w:t>8</w:t>
            </w:r>
            <w:proofErr w:type="gramEnd"/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r>
              <w:t>Consta portaria de designação da comissão de licitação e equipe de apoio, quando couber?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8666/93, Art. 51</w:t>
            </w:r>
          </w:p>
          <w:p w:rsidR="00BA3741" w:rsidRDefault="00EB728C">
            <w:pPr>
              <w:pStyle w:val="TableParagraph"/>
              <w:spacing w:line="250" w:lineRule="atLeast"/>
            </w:pPr>
            <w:proofErr w:type="gramStart"/>
            <w:r>
              <w:t>e</w:t>
            </w:r>
            <w:proofErr w:type="gramEnd"/>
            <w:r>
              <w:t xml:space="preserve"> Lei nº 10.520/02, art. 3º, IV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26"/>
              <w:ind w:right="336"/>
            </w:pPr>
            <w:r>
              <w:t>Escolher um item.</w:t>
            </w:r>
          </w:p>
        </w:tc>
      </w:tr>
      <w:tr w:rsidR="00BA3741">
        <w:trPr>
          <w:trHeight w:val="857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58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506"/>
              <w:jc w:val="right"/>
            </w:pPr>
            <w:proofErr w:type="gramStart"/>
            <w:r>
              <w:t>9</w:t>
            </w:r>
            <w:proofErr w:type="gramEnd"/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r>
              <w:t>Consta indicação dos recursos orçamentários que assegurem o pagamento da despesa?</w:t>
            </w:r>
          </w:p>
        </w:tc>
        <w:tc>
          <w:tcPr>
            <w:tcW w:w="2246" w:type="dxa"/>
          </w:tcPr>
          <w:p w:rsidR="00BA3741" w:rsidRPr="00B132C4" w:rsidRDefault="00EB728C">
            <w:pPr>
              <w:pStyle w:val="TableParagraph"/>
              <w:rPr>
                <w:lang w:val="en-US"/>
              </w:rPr>
            </w:pPr>
            <w:r w:rsidRPr="00B132C4">
              <w:rPr>
                <w:lang w:val="en-US"/>
              </w:rPr>
              <w:t>Lei 8.666/93, art. 7º,</w:t>
            </w:r>
          </w:p>
          <w:p w:rsidR="00BA3741" w:rsidRPr="00B132C4" w:rsidRDefault="00EB728C">
            <w:pPr>
              <w:pStyle w:val="TableParagraph"/>
              <w:spacing w:line="250" w:lineRule="atLeast"/>
              <w:rPr>
                <w:lang w:val="en-US"/>
              </w:rPr>
            </w:pPr>
            <w:r w:rsidRPr="00B132C4">
              <w:rPr>
                <w:lang w:val="en-US"/>
              </w:rPr>
              <w:t>§ 2º, III, c/c § 9º, art. 14, e art. 38 caput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26"/>
              <w:ind w:right="336"/>
            </w:pPr>
            <w:r>
              <w:t>Escolher um item.</w:t>
            </w:r>
          </w:p>
        </w:tc>
      </w:tr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517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445"/>
              <w:jc w:val="right"/>
            </w:pPr>
            <w:r>
              <w:t>10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spacing w:line="250" w:lineRule="atLeast"/>
              <w:ind w:left="108" w:right="96"/>
              <w:jc w:val="both"/>
            </w:pPr>
            <w:r>
              <w:t>A autorização da autoridade competente é destinada somente para os bens necessários ao atendimento da situação emergencial ou calamitosa e para as parcelas de obras e serviços que possam ser concluídas dentro de 180 (cento e oitenta) dias consecutivos e in</w:t>
            </w:r>
            <w:r>
              <w:t xml:space="preserve">interruptos, vedada </w:t>
            </w:r>
            <w:proofErr w:type="gramStart"/>
            <w:r>
              <w:t>a</w:t>
            </w:r>
            <w:proofErr w:type="gramEnd"/>
            <w:r>
              <w:t xml:space="preserve"> prorrogação?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0"/>
            </w:pPr>
            <w:r>
              <w:t>Lei 8.666/93, art. 38, caput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0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83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653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445"/>
              <w:jc w:val="right"/>
            </w:pPr>
            <w:r>
              <w:t>11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r>
              <w:t>Constam as razões da escolha do executante da obra, do prestador do serviço ou do fornecedor do bem?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8.666/93, art. 26,</w:t>
            </w:r>
          </w:p>
          <w:p w:rsidR="00BA3741" w:rsidRDefault="00EB728C">
            <w:pPr>
              <w:pStyle w:val="TableParagraph"/>
            </w:pPr>
            <w:r>
              <w:t>§ único, II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74"/>
              <w:ind w:right="336"/>
            </w:pPr>
            <w:r>
              <w:t>Escolher um item.</w:t>
            </w:r>
          </w:p>
        </w:tc>
      </w:tr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58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445"/>
              <w:jc w:val="right"/>
            </w:pPr>
            <w:r>
              <w:t>12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r>
              <w:t>Foi realizada pesquisa no Cadastro de Empresas Inidôneas e Suspensas – CEIS para contratar com o poder público?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12.846/2013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26"/>
              <w:ind w:right="336"/>
            </w:pPr>
            <w:r>
              <w:t>Escolher um item.</w:t>
            </w:r>
          </w:p>
        </w:tc>
      </w:tr>
      <w:tr w:rsidR="00BA3741">
        <w:trPr>
          <w:trHeight w:val="741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511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0" w:right="445"/>
              <w:jc w:val="right"/>
            </w:pPr>
            <w:r>
              <w:t>13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7"/>
              <w:jc w:val="both"/>
            </w:pPr>
            <w:r>
              <w:t xml:space="preserve">Consta, no edital ou processo de dispensa / inexigibilidade, exigência dos documentos de habilitação, </w:t>
            </w:r>
            <w:r>
              <w:rPr>
                <w:u w:val="single"/>
              </w:rPr>
              <w:t>conforme o caso</w:t>
            </w:r>
            <w:r>
              <w:t xml:space="preserve"> (compatíveis com o porte da obra/serviço de engenharia)?</w:t>
            </w:r>
          </w:p>
          <w:p w:rsidR="00BA3741" w:rsidRDefault="00EB728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proofErr w:type="gramStart"/>
            <w:r>
              <w:t>habilitação</w:t>
            </w:r>
            <w:proofErr w:type="gramEnd"/>
            <w:r>
              <w:rPr>
                <w:spacing w:val="-2"/>
              </w:rPr>
              <w:t xml:space="preserve"> </w:t>
            </w:r>
            <w:r>
              <w:t>jurídica;</w:t>
            </w:r>
          </w:p>
          <w:p w:rsidR="00BA3741" w:rsidRDefault="00EB728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proofErr w:type="gramStart"/>
            <w:r>
              <w:t>regularidade</w:t>
            </w:r>
            <w:proofErr w:type="gramEnd"/>
            <w:r>
              <w:t xml:space="preserve"> fiscal e</w:t>
            </w:r>
            <w:r>
              <w:rPr>
                <w:spacing w:val="-1"/>
              </w:rPr>
              <w:t xml:space="preserve"> </w:t>
            </w:r>
            <w:r>
              <w:t>trabalhista;</w:t>
            </w:r>
          </w:p>
          <w:p w:rsidR="00BA3741" w:rsidRDefault="00EB728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proofErr w:type="gramStart"/>
            <w:r>
              <w:t>qualificação</w:t>
            </w:r>
            <w:proofErr w:type="gramEnd"/>
            <w:r>
              <w:rPr>
                <w:spacing w:val="-1"/>
              </w:rPr>
              <w:t xml:space="preserve"> </w:t>
            </w:r>
            <w:r>
              <w:t>técnica;</w:t>
            </w:r>
          </w:p>
          <w:p w:rsidR="00BA3741" w:rsidRDefault="00EB728C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jc w:val="both"/>
            </w:pPr>
            <w:proofErr w:type="gramStart"/>
            <w:r>
              <w:t>qualificação</w:t>
            </w:r>
            <w:proofErr w:type="gramEnd"/>
            <w:r>
              <w:rPr>
                <w:spacing w:val="-1"/>
              </w:rPr>
              <w:t xml:space="preserve"> </w:t>
            </w:r>
            <w:r>
              <w:t>econômico-financeira.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8"/>
            </w:pPr>
            <w:r>
              <w:t>Lei 8.666/93, Arts. 27 a</w:t>
            </w:r>
            <w:r>
              <w:rPr>
                <w:spacing w:val="-3"/>
              </w:rPr>
              <w:t xml:space="preserve"> </w:t>
            </w:r>
            <w:r>
              <w:t>31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EB728C">
            <w:pPr>
              <w:pStyle w:val="TableParagraph"/>
              <w:spacing w:before="175"/>
              <w:ind w:right="336"/>
            </w:pPr>
            <w:r>
              <w:t>Escolher um item.</w:t>
            </w:r>
          </w:p>
        </w:tc>
      </w:tr>
    </w:tbl>
    <w:p w:rsidR="00BA3741" w:rsidRDefault="00BA3741">
      <w:pPr>
        <w:sectPr w:rsidR="00BA3741">
          <w:headerReference w:type="default" r:id="rId14"/>
          <w:footerReference w:type="default" r:id="rId15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BA3741">
      <w:pPr>
        <w:pStyle w:val="Corpodetexto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30"/>
        <w:gridCol w:w="2246"/>
        <w:gridCol w:w="1329"/>
      </w:tblGrid>
      <w:tr w:rsidR="00BA3741">
        <w:trPr>
          <w:trHeight w:val="1127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6830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14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5"/>
              <w:jc w:val="both"/>
            </w:pPr>
            <w:r>
              <w:t>Há no processo minuta contratual, contendo as cláusulas necessárias? I - o objeto e seus elementos característicos; II - o</w:t>
            </w:r>
            <w:r>
              <w:rPr>
                <w:spacing w:val="-12"/>
              </w:rPr>
              <w:t xml:space="preserve"> </w:t>
            </w:r>
            <w:r>
              <w:t>regime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execução</w:t>
            </w:r>
            <w:r>
              <w:rPr>
                <w:spacing w:val="-11"/>
              </w:rPr>
              <w:t xml:space="preserve"> </w:t>
            </w:r>
            <w:r>
              <w:t>ou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forma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fornecimento;</w:t>
            </w:r>
            <w:r>
              <w:rPr>
                <w:spacing w:val="-11"/>
              </w:rPr>
              <w:t xml:space="preserve"> </w:t>
            </w:r>
            <w:r>
              <w:t>III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 xml:space="preserve">preço e as condições de pagamento, os critérios, data-base e periodicidade do </w:t>
            </w:r>
            <w:r>
              <w:t>reajustamento de preços, os critérios de atualização monetária entre a data do adimplemento das obrigações e a do efetivo pagamento; IV - os prazos de início de etapas de execução, de conclusão, de entrega, de observação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recebimento</w:t>
            </w:r>
            <w:r>
              <w:rPr>
                <w:spacing w:val="-9"/>
              </w:rPr>
              <w:t xml:space="preserve"> </w:t>
            </w:r>
            <w:r>
              <w:t>definitivo,</w:t>
            </w:r>
            <w:r>
              <w:rPr>
                <w:spacing w:val="-8"/>
              </w:rPr>
              <w:t xml:space="preserve"> </w:t>
            </w:r>
            <w:r>
              <w:t>conforme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caso;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o crédito pelo qual correrá a despesa, com a indicação da classificação</w:t>
            </w:r>
            <w:r>
              <w:rPr>
                <w:spacing w:val="-14"/>
              </w:rPr>
              <w:t xml:space="preserve"> </w:t>
            </w:r>
            <w:r>
              <w:t>funcional</w:t>
            </w:r>
            <w:r>
              <w:rPr>
                <w:spacing w:val="-13"/>
              </w:rPr>
              <w:t xml:space="preserve"> </w:t>
            </w:r>
            <w:r>
              <w:t>programática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da</w:t>
            </w:r>
            <w:r>
              <w:rPr>
                <w:spacing w:val="-13"/>
              </w:rPr>
              <w:t xml:space="preserve"> </w:t>
            </w:r>
            <w:r>
              <w:t>categoria</w:t>
            </w:r>
            <w:r>
              <w:rPr>
                <w:spacing w:val="-13"/>
              </w:rPr>
              <w:t xml:space="preserve"> </w:t>
            </w:r>
            <w:r>
              <w:t>econômica; VI - as garantias oferecidas para assegurar sua plena execução, quando exigidas; VII - os direitos e as responsabi</w:t>
            </w:r>
            <w:r>
              <w:t xml:space="preserve">lidades das partes, as penalidades cabíveis e os valores das multas; VIII - os casos de rescisão; IX - o reconhecimento dos direitos da Administração, em caso de rescisão administrativa prevista no art. 77 desta Lei; X - as condições de importação, a data </w:t>
            </w:r>
            <w:r>
              <w:t>e a taxa de câmbio para conversão, quando for o caso; XI - a vinculação ao edital de licitação</w:t>
            </w:r>
            <w:r>
              <w:rPr>
                <w:spacing w:val="-5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termo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dispensou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inexigiu,</w:t>
            </w:r>
            <w:r>
              <w:rPr>
                <w:spacing w:val="-4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convite e</w:t>
            </w:r>
            <w:r>
              <w:rPr>
                <w:spacing w:val="-7"/>
              </w:rPr>
              <w:t xml:space="preserve"> </w:t>
            </w:r>
            <w:r>
              <w:t>à</w:t>
            </w:r>
            <w:r>
              <w:rPr>
                <w:spacing w:val="-6"/>
              </w:rPr>
              <w:t xml:space="preserve"> </w:t>
            </w:r>
            <w:r>
              <w:t>proposta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licitante</w:t>
            </w:r>
            <w:r>
              <w:rPr>
                <w:spacing w:val="-6"/>
              </w:rPr>
              <w:t xml:space="preserve"> </w:t>
            </w:r>
            <w:r>
              <w:t>vencedor;</w:t>
            </w:r>
            <w:r>
              <w:rPr>
                <w:spacing w:val="-6"/>
              </w:rPr>
              <w:t xml:space="preserve"> </w:t>
            </w:r>
            <w:r>
              <w:t>XII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legislação</w:t>
            </w:r>
            <w:r>
              <w:rPr>
                <w:spacing w:val="-7"/>
              </w:rPr>
              <w:t xml:space="preserve"> </w:t>
            </w:r>
            <w:r>
              <w:t>aplicável</w:t>
            </w:r>
            <w:r>
              <w:rPr>
                <w:spacing w:val="-6"/>
              </w:rPr>
              <w:t xml:space="preserve"> </w:t>
            </w:r>
            <w:r>
              <w:t>à execução do contrato e especialmente aos</w:t>
            </w:r>
            <w:r>
              <w:t xml:space="preserve"> casos omissos; XIII - a obrigação do contratado de manter, durante toda a execução do contrato, em compatibilidade com as obrigações por ele assumidas, todas as condições de habilitação e qualificação exigidas na</w:t>
            </w:r>
            <w:r>
              <w:rPr>
                <w:spacing w:val="-5"/>
              </w:rPr>
              <w:t xml:space="preserve"> </w:t>
            </w:r>
            <w:r>
              <w:t>licitação.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</w:pPr>
            <w:r>
              <w:t xml:space="preserve">Lei 8.666/93, art. 55 e seus </w:t>
            </w:r>
            <w:proofErr w:type="gramStart"/>
            <w:r>
              <w:t>in</w:t>
            </w:r>
            <w:r>
              <w:t>cisos</w:t>
            </w:r>
            <w:proofErr w:type="gramEnd"/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35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17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758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15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68"/>
            </w:pPr>
            <w:proofErr w:type="gramStart"/>
            <w:r>
              <w:t>Consta</w:t>
            </w:r>
            <w:proofErr w:type="gramEnd"/>
            <w:r>
              <w:t xml:space="preserve"> da minuta do contrato cláusula sobre fiscalização da obra / serviço e designação de fiscal?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8.666/93, art. 67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126"/>
              <w:ind w:right="336"/>
            </w:pPr>
            <w:r>
              <w:t>Escolher um item.</w:t>
            </w:r>
          </w:p>
        </w:tc>
      </w:tr>
      <w:tr w:rsidR="00BA3741">
        <w:trPr>
          <w:trHeight w:val="658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264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16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6"/>
              <w:jc w:val="both"/>
            </w:pPr>
            <w:r>
              <w:t>Há</w:t>
            </w:r>
            <w:r>
              <w:rPr>
                <w:spacing w:val="-7"/>
              </w:rPr>
              <w:t xml:space="preserve"> </w:t>
            </w:r>
            <w:r>
              <w:t>previsão,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minuta</w:t>
            </w:r>
            <w:r>
              <w:rPr>
                <w:spacing w:val="-7"/>
              </w:rPr>
              <w:t xml:space="preserve"> </w:t>
            </w:r>
            <w:r>
              <w:t>contratual</w:t>
            </w:r>
            <w:r>
              <w:rPr>
                <w:spacing w:val="-6"/>
              </w:rPr>
              <w:t xml:space="preserve"> </w:t>
            </w:r>
            <w:r>
              <w:t>e/ou</w:t>
            </w:r>
            <w:r>
              <w:rPr>
                <w:spacing w:val="-7"/>
              </w:rPr>
              <w:t xml:space="preserve"> </w:t>
            </w:r>
            <w:r>
              <w:t>nos</w:t>
            </w:r>
            <w:r>
              <w:rPr>
                <w:spacing w:val="-7"/>
              </w:rPr>
              <w:t xml:space="preserve"> </w:t>
            </w:r>
            <w:r>
              <w:t>aditivos</w:t>
            </w:r>
            <w:r>
              <w:rPr>
                <w:spacing w:val="-7"/>
              </w:rPr>
              <w:t xml:space="preserve"> </w:t>
            </w:r>
            <w:r>
              <w:t xml:space="preserve">contratuais de prazo, de </w:t>
            </w:r>
            <w:r>
              <w:rPr>
                <w:b/>
              </w:rPr>
              <w:t xml:space="preserve">cláusula anticorrupção, </w:t>
            </w:r>
            <w:r>
              <w:t>com a finalidade de resguardar o patrimônio público, de prevenção e controle da corrupção no âmbito da Admin</w:t>
            </w:r>
            <w:r>
              <w:t>istração Pública</w:t>
            </w:r>
            <w:r>
              <w:rPr>
                <w:spacing w:val="-13"/>
              </w:rPr>
              <w:t xml:space="preserve"> </w:t>
            </w:r>
            <w:r>
              <w:t>Estadual?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jc w:val="both"/>
            </w:pPr>
            <w:r>
              <w:t>IN</w:t>
            </w:r>
            <w:r>
              <w:rPr>
                <w:spacing w:val="55"/>
              </w:rPr>
              <w:t xml:space="preserve"> </w:t>
            </w:r>
            <w:r>
              <w:t>CONJUNTA</w:t>
            </w:r>
          </w:p>
          <w:p w:rsidR="00BA3741" w:rsidRDefault="00EB728C">
            <w:pPr>
              <w:pStyle w:val="TableParagraph"/>
              <w:tabs>
                <w:tab w:val="left" w:pos="1934"/>
              </w:tabs>
              <w:spacing w:line="250" w:lineRule="atLeast"/>
              <w:ind w:right="96"/>
              <w:jc w:val="both"/>
            </w:pPr>
            <w:r>
              <w:t>CGE/SEA</w:t>
            </w:r>
            <w:r>
              <w:tab/>
            </w:r>
            <w:r>
              <w:rPr>
                <w:spacing w:val="-9"/>
              </w:rPr>
              <w:t xml:space="preserve">nº </w:t>
            </w:r>
            <w:r>
              <w:t xml:space="preserve">01/2020, art. 1º e seus incisos, de </w:t>
            </w:r>
            <w:proofErr w:type="gramStart"/>
            <w:r>
              <w:t>26/03/2020</w:t>
            </w:r>
            <w:proofErr w:type="gramEnd"/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826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505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17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spacing w:line="250" w:lineRule="atLeast"/>
              <w:ind w:left="108" w:right="68"/>
            </w:pPr>
            <w:r>
              <w:t>Consta parecer jurídico acerca da contratação e da minuta do contrato?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spacing w:line="250" w:lineRule="atLeast"/>
            </w:pPr>
            <w:r>
              <w:t xml:space="preserve">Lei 8666/93, art. 38, VI e </w:t>
            </w:r>
            <w:proofErr w:type="gramStart"/>
            <w:r>
              <w:t>X</w:t>
            </w:r>
            <w:proofErr w:type="gramEnd"/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line="250" w:lineRule="atLeast"/>
              <w:ind w:right="336"/>
            </w:pPr>
            <w:r>
              <w:t>Escolher um item.</w:t>
            </w:r>
          </w:p>
        </w:tc>
      </w:tr>
    </w:tbl>
    <w:p w:rsidR="00BA3741" w:rsidRDefault="00BA3741">
      <w:pPr>
        <w:spacing w:line="250" w:lineRule="atLeast"/>
        <w:sectPr w:rsidR="00BA3741">
          <w:headerReference w:type="default" r:id="rId16"/>
          <w:footerReference w:type="default" r:id="rId17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BA3741">
      <w:pPr>
        <w:pStyle w:val="Corpodetexto"/>
        <w:spacing w:before="2"/>
        <w:rPr>
          <w:b/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6330"/>
        <w:gridCol w:w="2246"/>
        <w:gridCol w:w="1329"/>
      </w:tblGrid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579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18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28"/>
            </w:pPr>
            <w:r>
              <w:t>Foi realizada a comunicação à autoridade superior no prazo de três dias para ratificação?</w:t>
            </w:r>
          </w:p>
        </w:tc>
        <w:tc>
          <w:tcPr>
            <w:tcW w:w="2246" w:type="dxa"/>
          </w:tcPr>
          <w:p w:rsidR="00BA3741" w:rsidRPr="00B132C4" w:rsidRDefault="00EB728C">
            <w:pPr>
              <w:pStyle w:val="TableParagraph"/>
              <w:ind w:right="90"/>
              <w:rPr>
                <w:lang w:val="en-US"/>
              </w:rPr>
            </w:pPr>
            <w:r w:rsidRPr="00B132C4">
              <w:rPr>
                <w:lang w:val="en-US"/>
              </w:rPr>
              <w:t>Lei 8.666/93, art. 26, caput, art 49, § 4 º</w:t>
            </w:r>
          </w:p>
        </w:tc>
        <w:tc>
          <w:tcPr>
            <w:tcW w:w="1329" w:type="dxa"/>
          </w:tcPr>
          <w:p w:rsidR="00BA3741" w:rsidRDefault="00EB728C">
            <w:pPr>
              <w:pStyle w:val="TableParagraph"/>
              <w:spacing w:before="36"/>
              <w:ind w:right="336"/>
            </w:pPr>
            <w:r>
              <w:t>Escolher um item.</w:t>
            </w:r>
          </w:p>
        </w:tc>
      </w:tr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276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19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5"/>
              <w:jc w:val="both"/>
            </w:pPr>
            <w:r>
              <w:t>Foi realizada a publicação na Imprensa Oficial, na forma de extrato, no prazo de cinco dias, a contar do recebimento do processo pela autoridade superior com as seguintes informações: a) ratificação pela autor</w:t>
            </w:r>
            <w:r>
              <w:t>idade superior da caracterização da situação emergencial (trata-se de um simples despacho, desejavelmente sintético, que pode ser publicado na íntegra); b) nome do contratante e do contratado;</w:t>
            </w:r>
          </w:p>
          <w:p w:rsidR="00BA3741" w:rsidRDefault="00EB728C">
            <w:pPr>
              <w:pStyle w:val="TableParagraph"/>
              <w:spacing w:line="250" w:lineRule="atLeast"/>
              <w:ind w:left="108" w:right="96"/>
              <w:jc w:val="both"/>
            </w:pPr>
            <w:r>
              <w:t>c) objeto; d) valor; e) prazo de execução, quando não for entrega imediata de material?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0"/>
            </w:pPr>
            <w:r>
              <w:t>Lei 8.666/93, art. 26, caput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82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1011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20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/>
            </w:pPr>
            <w:r>
              <w:t>Consta assinatura do contrato ou documento equivalente?</w:t>
            </w:r>
          </w:p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spacing w:line="250" w:lineRule="atLeast"/>
              <w:ind w:left="108" w:right="68"/>
              <w:rPr>
                <w:i/>
              </w:rPr>
            </w:pPr>
            <w:r>
              <w:rPr>
                <w:i/>
              </w:rPr>
              <w:t>Obs.: incluir o contrato no SICOP, conforme art. 1º do Decreto 308/2015.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</w:pPr>
            <w:r>
              <w:t>Lei 8666/93, art. 54, 55, 62, 64</w:t>
            </w:r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ind w:right="336"/>
            </w:pPr>
            <w:r>
              <w:t>Escolher um item.</w:t>
            </w:r>
          </w:p>
        </w:tc>
      </w:tr>
      <w:tr w:rsidR="00BA3741">
        <w:trPr>
          <w:trHeight w:val="783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OBS: </w:t>
            </w:r>
            <w:r>
              <w:rPr>
                <w:color w:val="808080"/>
              </w:rPr>
              <w:t>Clique ou toque aqui para inserir o texto.</w:t>
            </w:r>
          </w:p>
        </w:tc>
      </w:tr>
      <w:tr w:rsidR="00BA3741">
        <w:trPr>
          <w:trHeight w:val="2023"/>
        </w:trPr>
        <w:tc>
          <w:tcPr>
            <w:tcW w:w="1159" w:type="dxa"/>
          </w:tcPr>
          <w:p w:rsidR="00BA3741" w:rsidRDefault="00EB728C">
            <w:pPr>
              <w:pStyle w:val="TableParagraph"/>
              <w:ind w:left="234" w:right="225"/>
              <w:jc w:val="center"/>
            </w:pPr>
            <w:r>
              <w:t>21</w:t>
            </w:r>
          </w:p>
        </w:tc>
        <w:tc>
          <w:tcPr>
            <w:tcW w:w="6330" w:type="dxa"/>
          </w:tcPr>
          <w:p w:rsidR="00BA3741" w:rsidRDefault="00EB728C">
            <w:pPr>
              <w:pStyle w:val="TableParagraph"/>
              <w:ind w:left="108" w:right="95"/>
              <w:jc w:val="both"/>
            </w:pPr>
            <w:r>
              <w:t>O empenho foi realizado com o complemento 120 – “Ciclone extratropical”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descrição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histórico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empenho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que a despesa refere-se ao Ciclone</w:t>
            </w:r>
            <w:r>
              <w:rPr>
                <w:spacing w:val="-5"/>
              </w:rPr>
              <w:t xml:space="preserve"> </w:t>
            </w:r>
            <w:r>
              <w:t>Extratropical?</w:t>
            </w:r>
          </w:p>
          <w:p w:rsidR="00BA3741" w:rsidRDefault="00BA3741">
            <w:pPr>
              <w:pStyle w:val="TableParagraph"/>
              <w:ind w:left="0"/>
              <w:rPr>
                <w:b/>
              </w:rPr>
            </w:pPr>
          </w:p>
          <w:p w:rsidR="00BA3741" w:rsidRDefault="00EB728C">
            <w:pPr>
              <w:pStyle w:val="TableParagraph"/>
              <w:ind w:left="108" w:right="96"/>
              <w:jc w:val="both"/>
              <w:rPr>
                <w:i/>
              </w:rPr>
            </w:pPr>
            <w:r>
              <w:rPr>
                <w:i/>
              </w:rPr>
              <w:t>Obs: Se houver necessidade de reforço de empenho, o novo empenho deve possuir as mesmas características do primeiro, vedado o reforço do empenho original.</w:t>
            </w:r>
          </w:p>
        </w:tc>
        <w:tc>
          <w:tcPr>
            <w:tcW w:w="2246" w:type="dxa"/>
          </w:tcPr>
          <w:p w:rsidR="00BA3741" w:rsidRDefault="00EB728C">
            <w:pPr>
              <w:pStyle w:val="TableParagraph"/>
              <w:ind w:right="96"/>
              <w:jc w:val="both"/>
            </w:pPr>
            <w:r>
              <w:t xml:space="preserve">IN Conjunta CGE / SEA/SEF nº 001 / 2020, Art. </w:t>
            </w:r>
            <w:proofErr w:type="gramStart"/>
            <w:r>
              <w:t>4º</w:t>
            </w:r>
            <w:proofErr w:type="gramEnd"/>
          </w:p>
        </w:tc>
        <w:tc>
          <w:tcPr>
            <w:tcW w:w="1329" w:type="dxa"/>
          </w:tcPr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BA3741">
            <w:pPr>
              <w:pStyle w:val="TableParagraph"/>
              <w:ind w:left="0"/>
              <w:rPr>
                <w:b/>
                <w:sz w:val="24"/>
              </w:rPr>
            </w:pPr>
          </w:p>
          <w:p w:rsidR="00BA3741" w:rsidRDefault="00EB728C">
            <w:pPr>
              <w:pStyle w:val="TableParagraph"/>
              <w:spacing w:before="207"/>
              <w:ind w:right="336"/>
            </w:pPr>
            <w:r>
              <w:t>Escolher um item.</w:t>
            </w:r>
          </w:p>
        </w:tc>
      </w:tr>
      <w:tr w:rsidR="00BA3741">
        <w:trPr>
          <w:trHeight w:val="1124"/>
        </w:trPr>
        <w:tc>
          <w:tcPr>
            <w:tcW w:w="11064" w:type="dxa"/>
            <w:gridSpan w:val="4"/>
          </w:tcPr>
          <w:p w:rsidR="00BA3741" w:rsidRDefault="00EB728C">
            <w:pPr>
              <w:pStyle w:val="TableParagraph"/>
            </w:pPr>
            <w:r>
              <w:t xml:space="preserve">OBS.: </w:t>
            </w:r>
            <w:r>
              <w:rPr>
                <w:color w:val="808080"/>
              </w:rPr>
              <w:t>Clique ou toque aqui para inserir o texto.</w:t>
            </w:r>
          </w:p>
        </w:tc>
      </w:tr>
    </w:tbl>
    <w:p w:rsidR="00BA3741" w:rsidRDefault="00BA3741">
      <w:pPr>
        <w:pStyle w:val="Corpodetexto"/>
        <w:rPr>
          <w:b/>
          <w:sz w:val="20"/>
        </w:rPr>
      </w:pPr>
    </w:p>
    <w:p w:rsidR="00BA3741" w:rsidRDefault="00BA3741">
      <w:pPr>
        <w:pStyle w:val="Corpodetexto"/>
        <w:spacing w:before="11"/>
        <w:rPr>
          <w:b/>
          <w:sz w:val="15"/>
        </w:rPr>
      </w:pPr>
    </w:p>
    <w:p w:rsidR="00BA3741" w:rsidRDefault="00EB728C">
      <w:pPr>
        <w:spacing w:before="93"/>
        <w:ind w:left="2112" w:right="5765"/>
      </w:pPr>
      <w:r>
        <w:rPr>
          <w:b/>
        </w:rPr>
        <w:t xml:space="preserve">Eduardo Maciel Bittencourt </w:t>
      </w:r>
      <w:r>
        <w:t xml:space="preserve">Auditor Interno do Poder </w:t>
      </w:r>
      <w:proofErr w:type="gramStart"/>
      <w:r>
        <w:t>Executivo Matrícula</w:t>
      </w:r>
      <w:proofErr w:type="gramEnd"/>
      <w:r>
        <w:t xml:space="preserve"> nº 396.556-2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spacing w:before="11"/>
        <w:rPr>
          <w:sz w:val="19"/>
        </w:rPr>
      </w:pPr>
    </w:p>
    <w:p w:rsidR="00BA3741" w:rsidRDefault="00EB728C">
      <w:pPr>
        <w:ind w:left="2182" w:right="5699"/>
        <w:jc w:val="both"/>
      </w:pPr>
      <w:r>
        <w:rPr>
          <w:b/>
        </w:rPr>
        <w:t xml:space="preserve">Ricardo Cavalcanti Peixoto Filho </w:t>
      </w:r>
      <w:r>
        <w:t xml:space="preserve">Auditor Interno do Poder </w:t>
      </w:r>
      <w:proofErr w:type="gramStart"/>
      <w:r>
        <w:t>Executivo Matrícula</w:t>
      </w:r>
      <w:proofErr w:type="gramEnd"/>
      <w:r>
        <w:t xml:space="preserve"> nº 396.562-7</w:t>
      </w:r>
    </w:p>
    <w:p w:rsidR="00BA3741" w:rsidRDefault="00BA3741">
      <w:pPr>
        <w:jc w:val="both"/>
        <w:sectPr w:rsidR="00BA3741">
          <w:headerReference w:type="default" r:id="rId18"/>
          <w:footerReference w:type="default" r:id="rId19"/>
          <w:pgSz w:w="11910" w:h="16840"/>
          <w:pgMar w:top="1600" w:right="160" w:bottom="1300" w:left="440" w:header="284" w:footer="1118" w:gutter="0"/>
          <w:cols w:space="720"/>
        </w:sectPr>
      </w:pPr>
    </w:p>
    <w:p w:rsidR="00BA3741" w:rsidRDefault="00EB728C">
      <w:pPr>
        <w:spacing w:before="83"/>
        <w:ind w:left="2181" w:right="5470"/>
      </w:pPr>
      <w:r>
        <w:rPr>
          <w:b/>
        </w:rPr>
        <w:lastRenderedPageBreak/>
        <w:t xml:space="preserve">Engº Charles Stuart da Silva </w:t>
      </w:r>
      <w:r>
        <w:t>Consultor Técnico CREA nº 42.482-1 Matrícula: 603.373-3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spacing w:before="11"/>
        <w:rPr>
          <w:sz w:val="19"/>
        </w:rPr>
      </w:pPr>
    </w:p>
    <w:p w:rsidR="00BA3741" w:rsidRDefault="00EB728C">
      <w:pPr>
        <w:ind w:left="2112"/>
      </w:pPr>
      <w:r>
        <w:t>De acordo.</w:t>
      </w:r>
    </w:p>
    <w:p w:rsidR="00BA3741" w:rsidRDefault="00EB728C">
      <w:pPr>
        <w:ind w:left="2112"/>
      </w:pPr>
      <w:r>
        <w:t>Encaminhe-se ao Auditor-Geral do Estado.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rPr>
          <w:sz w:val="20"/>
        </w:rPr>
      </w:pPr>
    </w:p>
    <w:p w:rsidR="00BA3741" w:rsidRDefault="00EB728C">
      <w:pPr>
        <w:ind w:left="2112"/>
        <w:rPr>
          <w:b/>
        </w:rPr>
      </w:pPr>
      <w:r>
        <w:rPr>
          <w:b/>
        </w:rPr>
        <w:t>Luciana Zanatta Pompeo</w:t>
      </w:r>
    </w:p>
    <w:p w:rsidR="00BA3741" w:rsidRDefault="00EB728C">
      <w:pPr>
        <w:ind w:left="2112" w:right="4604"/>
      </w:pPr>
      <w:r>
        <w:t xml:space="preserve">Gerente de Auditoria de Licitações e Contratos Auditora </w:t>
      </w:r>
      <w:proofErr w:type="gramStart"/>
      <w:r>
        <w:t>Interno</w:t>
      </w:r>
      <w:proofErr w:type="gramEnd"/>
      <w:r>
        <w:t xml:space="preserve"> do P</w:t>
      </w:r>
      <w:r>
        <w:t>oder Executivo</w:t>
      </w:r>
    </w:p>
    <w:p w:rsidR="00BA3741" w:rsidRDefault="00EB728C">
      <w:pPr>
        <w:ind w:left="2112"/>
      </w:pPr>
      <w:r>
        <w:t>Matrícula nº 378.941-1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rPr>
          <w:sz w:val="20"/>
        </w:rPr>
      </w:pPr>
    </w:p>
    <w:p w:rsidR="00BA3741" w:rsidRDefault="00EB728C">
      <w:pPr>
        <w:ind w:left="2112"/>
      </w:pPr>
      <w:r>
        <w:t>De acordo.</w:t>
      </w:r>
    </w:p>
    <w:p w:rsidR="00BA3741" w:rsidRDefault="00EB728C">
      <w:pPr>
        <w:ind w:left="2112"/>
      </w:pPr>
      <w:r>
        <w:t>Encaminhe-se ao Controlador-Geral do Estado.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rPr>
          <w:sz w:val="20"/>
        </w:rPr>
      </w:pPr>
    </w:p>
    <w:p w:rsidR="00BA3741" w:rsidRDefault="00EB728C">
      <w:pPr>
        <w:ind w:left="2112"/>
        <w:rPr>
          <w:b/>
        </w:rPr>
      </w:pPr>
      <w:r>
        <w:rPr>
          <w:b/>
        </w:rPr>
        <w:t>Rodrigo Stigger Dutra</w:t>
      </w:r>
    </w:p>
    <w:p w:rsidR="00BA3741" w:rsidRDefault="00EB728C">
      <w:pPr>
        <w:ind w:left="2112"/>
      </w:pPr>
      <w:r>
        <w:t>Auditor-Geral do Estado</w:t>
      </w:r>
    </w:p>
    <w:p w:rsidR="00BA3741" w:rsidRDefault="00EB728C">
      <w:pPr>
        <w:ind w:left="2112" w:right="5765"/>
      </w:pPr>
      <w:r>
        <w:t xml:space="preserve">Auditor Interno do Poder </w:t>
      </w:r>
      <w:proofErr w:type="gramStart"/>
      <w:r>
        <w:t>Executivo Matrícula</w:t>
      </w:r>
      <w:proofErr w:type="gramEnd"/>
      <w:r>
        <w:t xml:space="preserve"> n° 389.733-8</w:t>
      </w:r>
    </w:p>
    <w:p w:rsidR="00BA3741" w:rsidRDefault="00BA3741">
      <w:pPr>
        <w:pStyle w:val="Corpodetexto"/>
        <w:rPr>
          <w:sz w:val="24"/>
        </w:rPr>
      </w:pPr>
    </w:p>
    <w:p w:rsidR="00BA3741" w:rsidRDefault="00BA3741">
      <w:pPr>
        <w:pStyle w:val="Corpodetexto"/>
        <w:rPr>
          <w:sz w:val="20"/>
        </w:rPr>
      </w:pPr>
    </w:p>
    <w:p w:rsidR="00BA3741" w:rsidRDefault="00EB728C">
      <w:pPr>
        <w:ind w:left="2112"/>
      </w:pPr>
      <w:r>
        <w:t>De acordo.</w:t>
      </w:r>
    </w:p>
    <w:p w:rsidR="00BA3741" w:rsidRDefault="00BA3741">
      <w:pPr>
        <w:pStyle w:val="Corpodetexto"/>
        <w:rPr>
          <w:sz w:val="22"/>
        </w:rPr>
      </w:pPr>
    </w:p>
    <w:p w:rsidR="00BA3741" w:rsidRDefault="00EB728C" w:rsidP="00B132C4">
      <w:pPr>
        <w:ind w:left="2112" w:right="6380"/>
        <w:rPr>
          <w:sz w:val="17"/>
        </w:rPr>
      </w:pPr>
      <w:r>
        <w:rPr>
          <w:b/>
        </w:rPr>
        <w:t xml:space="preserve">Cristiano Socas da Silva </w:t>
      </w:r>
      <w:r>
        <w:t>Controlador-Geral do Estado Matrícula nº 389.731-1</w:t>
      </w:r>
    </w:p>
    <w:sectPr w:rsidR="00BA3741">
      <w:headerReference w:type="default" r:id="rId20"/>
      <w:footerReference w:type="default" r:id="rId21"/>
      <w:pgSz w:w="11910" w:h="16840"/>
      <w:pgMar w:top="1600" w:right="160" w:bottom="1300" w:left="440" w:header="284" w:footer="11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8C" w:rsidRDefault="00EB728C">
      <w:r>
        <w:separator/>
      </w:r>
    </w:p>
  </w:endnote>
  <w:endnote w:type="continuationSeparator" w:id="0">
    <w:p w:rsidR="00EB728C" w:rsidRDefault="00EB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1440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91.9pt;margin-top:775pt;width:271.5pt;height:29.35pt;z-index:-16214528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4"/>
                  <w:ind w:left="165" w:right="18" w:hanging="146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Rod. </w:t>
                </w:r>
                <w:r>
                  <w:rPr>
                    <w:sz w:val="16"/>
                  </w:rPr>
                  <w:t xml:space="preserve">José Carlos Daux, 5500 - Saco Grande, Florianópolis - SC, 88032-005 SC 401 Square Corporate – CFL – Torre Campeche B, 3º andar, sala 323 Fone: (48) 3664-5720 - E-mail: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cgesc@cge.sc.gov.br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272.9pt;margin-top:814.7pt;width:63.75pt;height:13.2pt;z-index:-16214016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 xml:space="preserve">1 </w:t>
                </w:r>
                <w:r>
                  <w:rPr>
                    <w:sz w:val="20"/>
                  </w:rPr>
                  <w:t xml:space="preserve">de </w:t>
                </w:r>
                <w:proofErr w:type="gramStart"/>
                <w:r>
                  <w:rPr>
                    <w:b/>
                    <w:sz w:val="20"/>
                  </w:rPr>
                  <w:t>8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582.65pt;margin-top:825.05pt;width:8.7pt;height:15.45pt;z-index:-16213504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3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4512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91.9pt;margin-top:775pt;width:271.5pt;height:29.35pt;z-index:-16211456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4"/>
                  <w:ind w:left="165" w:right="18" w:hanging="146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Rod. </w:t>
                </w:r>
                <w:r>
                  <w:rPr>
                    <w:sz w:val="16"/>
                  </w:rPr>
                  <w:t>José Carlos Daux, 5500 - Saco Grande, Florianópolis - SC, 88032-005 SC 401 Square Corporate – CFL – Torre Campeche B</w:t>
                </w:r>
                <w:r>
                  <w:rPr>
                    <w:sz w:val="16"/>
                  </w:rPr>
                  <w:t xml:space="preserve">, 3º andar, sala 323 Fone: (48) 3664-5720 - E-mail: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cgesc@cge.sc.gov.br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272.9pt;margin-top:814.7pt;width:63.75pt;height:13.2pt;z-index:-16210944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 xml:space="preserve">2 </w:t>
                </w:r>
                <w:r>
                  <w:rPr>
                    <w:sz w:val="20"/>
                  </w:rPr>
                  <w:t xml:space="preserve">de </w:t>
                </w:r>
                <w:proofErr w:type="gramStart"/>
                <w:r>
                  <w:rPr>
                    <w:b/>
                    <w:sz w:val="20"/>
                  </w:rPr>
                  <w:t>8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582.65pt;margin-top:825.05pt;width:8.7pt;height:15.45pt;z-index:-16210432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4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7584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91.9pt;margin-top:775pt;width:271.5pt;height:29.35pt;z-index:-16208384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4"/>
                  <w:ind w:left="165" w:right="18" w:hanging="146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Rod. </w:t>
                </w:r>
                <w:r>
                  <w:rPr>
                    <w:sz w:val="16"/>
                  </w:rPr>
                  <w:t xml:space="preserve">José Carlos Daux, 5500 - Saco Grande, Florianópolis - SC, 88032-005 SC 401 Square Corporate – CFL – Torre Campeche B, 3º andar, sala 323 Fone: (48) 3664-5720 - E-mail: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cgesc@cge.sc.gov.br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272.9pt;margin-top:814.7pt;width:63.75pt;height:13.2pt;z-index:-16207872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 xml:space="preserve">3 </w:t>
                </w:r>
                <w:r>
                  <w:rPr>
                    <w:sz w:val="20"/>
                  </w:rPr>
                  <w:t xml:space="preserve">de </w:t>
                </w:r>
                <w:proofErr w:type="gramStart"/>
                <w:r>
                  <w:rPr>
                    <w:b/>
                    <w:sz w:val="20"/>
                  </w:rPr>
                  <w:t>8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82.65pt;margin-top:825.05pt;width:8.7pt;height:15.45pt;z-index:-16207360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5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0656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1.9pt;margin-top:775pt;width:271.5pt;height:29.35pt;z-index:-16205312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4"/>
                  <w:ind w:left="165" w:right="18" w:hanging="146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Rod. </w:t>
                </w:r>
                <w:r>
                  <w:rPr>
                    <w:sz w:val="16"/>
                  </w:rPr>
                  <w:t xml:space="preserve">José Carlos Daux, 5500 - Saco Grande, Florianópolis - SC, 88032-005 SC 401 Square Corporate – CFL – Torre Campeche B, 3º andar, sala 323 Fone: (48) 3664-5720 - E-mail: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cgesc@cge.sc.gov.br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2.9pt;margin-top:814.7pt;width:63.75pt;height:13.2pt;z-index:-16204800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 xml:space="preserve">4 </w:t>
                </w:r>
                <w:r>
                  <w:rPr>
                    <w:sz w:val="20"/>
                  </w:rPr>
                  <w:t xml:space="preserve">de </w:t>
                </w:r>
                <w:proofErr w:type="gramStart"/>
                <w:r>
                  <w:rPr>
                    <w:b/>
                    <w:sz w:val="20"/>
                  </w:rPr>
                  <w:t>8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82.65pt;margin-top:825.05pt;width:8.7pt;height:15.45pt;z-index:-16204288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6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3728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1.9pt;margin-top:775pt;width:271.5pt;height:29.35pt;z-index:-16202240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4"/>
                  <w:ind w:left="165" w:right="18" w:hanging="146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Rod. </w:t>
                </w:r>
                <w:r>
                  <w:rPr>
                    <w:sz w:val="16"/>
                  </w:rPr>
                  <w:t xml:space="preserve">José Carlos Daux, 5500 - Saco Grande, Florianópolis - SC, 88032-005 SC 401 Square Corporate – CFL – Torre Campeche B, 3º andar, sala 323 Fone: (48) 3664-5720 - E-mail: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cgesc@cge.sc.gov.br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272.9pt;margin-top:814.7pt;width:63.75pt;height:13.2pt;z-index:-16201728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 xml:space="preserve">5 </w:t>
                </w:r>
                <w:r>
                  <w:rPr>
                    <w:sz w:val="20"/>
                  </w:rPr>
                  <w:t xml:space="preserve">de </w:t>
                </w:r>
                <w:proofErr w:type="gramStart"/>
                <w:r>
                  <w:rPr>
                    <w:b/>
                    <w:sz w:val="20"/>
                  </w:rPr>
                  <w:t>8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82.65pt;margin-top:825.05pt;width:8.7pt;height:15.45pt;z-index:-16201216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7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6800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91.9pt;margin-top:775pt;width:271.5pt;height:29.35pt;z-index:-16199168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4"/>
                  <w:ind w:left="165" w:right="18" w:hanging="146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Rod. </w:t>
                </w:r>
                <w:r>
                  <w:rPr>
                    <w:sz w:val="16"/>
                  </w:rPr>
                  <w:t xml:space="preserve">José Carlos Daux, 5500 - Saco Grande, Florianópolis - SC, 88032-005 SC 401 Square Corporate – CFL – Torre Campeche B, 3º andar, sala 323 Fone: (48) 3664-5720 - E-mail: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cgesc@cge.sc.gov.br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72.9pt;margin-top:814.7pt;width:63.75pt;height:13.2pt;z-index:-16198656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 xml:space="preserve">6 </w:t>
                </w:r>
                <w:r>
                  <w:rPr>
                    <w:sz w:val="20"/>
                  </w:rPr>
                  <w:t xml:space="preserve">de </w:t>
                </w:r>
                <w:proofErr w:type="gramStart"/>
                <w:r>
                  <w:rPr>
                    <w:b/>
                    <w:sz w:val="20"/>
                  </w:rPr>
                  <w:t>8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82.65pt;margin-top:825.05pt;width:8.7pt;height:15.45pt;z-index:-16198144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2"/>
                  <w:ind w:left="20"/>
                  <w:rPr>
                    <w:b/>
                    <w:sz w:val="24"/>
                  </w:rPr>
                </w:pPr>
                <w:proofErr w:type="gramStart"/>
                <w:r>
                  <w:rPr>
                    <w:b/>
                    <w:sz w:val="24"/>
                  </w:rPr>
                  <w:t>8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22944" behindDoc="1" locked="0" layoutInCell="1" allowOverlap="1">
          <wp:simplePos x="0" y="0"/>
          <wp:positionH relativeFrom="page">
            <wp:posOffset>6056122</wp:posOffset>
          </wp:positionH>
          <wp:positionV relativeFrom="page">
            <wp:posOffset>9885566</wp:posOffset>
          </wp:positionV>
          <wp:extent cx="1205960" cy="452628"/>
          <wp:effectExtent l="0" t="0" r="0" b="0"/>
          <wp:wrapNone/>
          <wp:docPr id="3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960" cy="4526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9pt;margin-top:775pt;width:271.5pt;height:29.35pt;z-index:-16193024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4"/>
                  <w:ind w:left="165" w:right="18" w:hanging="146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 xml:space="preserve">Rod. </w:t>
                </w:r>
                <w:r>
                  <w:rPr>
                    <w:sz w:val="16"/>
                  </w:rPr>
                  <w:t xml:space="preserve">José Carlos Daux, 5500 - Saco Grande, Florianópolis - SC, 88032-005 SC 401 Square Corporate – CFL – Torre Campeche B, 3º andar, sala 323 Fone: (48) 3664-5720 - E-mail: </w:t>
                </w:r>
                <w:hyperlink r:id="rId2">
                  <w:r>
                    <w:rPr>
                      <w:color w:val="0000FF"/>
                      <w:sz w:val="16"/>
                      <w:u w:val="single" w:color="0000FF"/>
                    </w:rPr>
                    <w:t>cgesc@cge.sc.gov.br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2.9pt;margin-top:814.7pt;width:63.75pt;height:13.2pt;z-index:-16192512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rPr>
                    <w:b/>
                    <w:sz w:val="20"/>
                  </w:rPr>
                  <w:t xml:space="preserve">8 </w:t>
                </w:r>
                <w:r>
                  <w:rPr>
                    <w:sz w:val="20"/>
                  </w:rPr>
                  <w:t xml:space="preserve">de </w:t>
                </w:r>
                <w:proofErr w:type="gramStart"/>
                <w:r>
                  <w:rPr>
                    <w:b/>
                    <w:sz w:val="20"/>
                  </w:rPr>
                  <w:t>8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75.95pt;margin-top:825.05pt;width:15.35pt;height:15.45pt;z-index:-16192000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8C" w:rsidRDefault="00EB728C">
      <w:r>
        <w:separator/>
      </w:r>
    </w:p>
  </w:footnote>
  <w:footnote w:type="continuationSeparator" w:id="0">
    <w:p w:rsidR="00EB728C" w:rsidRDefault="00EB7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041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8.65pt;margin-top:13.55pt;width:285.4pt;height:47.7pt;z-index:-16215552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 w:right="1898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ESTADO DE SANTA CATARINA CONTROLADORIA-GERAL DO ESTADO AUDITORIA-GERAL DO ESTADO</w:t>
                </w:r>
              </w:p>
              <w:p w:rsidR="00BA3741" w:rsidRDefault="00EB728C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GERÊNCIA DE AUDITORIA DE LICITAÇÕES E CONTRATOS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3488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8.65pt;margin-top:13.55pt;width:285.4pt;height:47.7pt;z-index:-16212480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 w:right="1898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ESTADO </w:t>
                </w:r>
                <w:r>
                  <w:rPr>
                    <w:b/>
                    <w:sz w:val="20"/>
                  </w:rPr>
                  <w:t>DE SANTA CATARINA CONTROLADORIA-GERAL DO ESTADO AUDITORIA-GERAL DO ESTADO</w:t>
                </w:r>
              </w:p>
              <w:p w:rsidR="00BA3741" w:rsidRDefault="00EB728C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GERÊNCIA DE AUDITORIA DE LICITAÇÕES E CONTRATOS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6560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8.65pt;margin-top:13.55pt;width:285.4pt;height:47.7pt;z-index:-16209408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 w:right="1898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ESTADO </w:t>
                </w:r>
                <w:r>
                  <w:rPr>
                    <w:b/>
                    <w:sz w:val="20"/>
                  </w:rPr>
                  <w:t>DE SANTA CATARINA CONTROLADORIA-GERAL DO ES</w:t>
                </w:r>
                <w:r>
                  <w:rPr>
                    <w:b/>
                    <w:sz w:val="20"/>
                  </w:rPr>
                  <w:t>TADO AUDITORIA-GERAL DO ESTADO</w:t>
                </w:r>
              </w:p>
              <w:p w:rsidR="00BA3741" w:rsidRDefault="00EB728C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GERÊNCIA DE AUDITORIA DE LICITAÇÕES E CONTRATOS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09632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8.65pt;margin-top:13.55pt;width:285.4pt;height:47.7pt;z-index:-16206336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 w:right="1898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ESTADO </w:t>
                </w:r>
                <w:r>
                  <w:rPr>
                    <w:b/>
                    <w:sz w:val="20"/>
                  </w:rPr>
                  <w:t>DE SANTA CATARINA CONTROLADORIA-GERAL DO ESTADO AUDITORIA-GERAL DO ESTADO</w:t>
                </w:r>
              </w:p>
              <w:p w:rsidR="00BA3741" w:rsidRDefault="00EB728C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GERÊNCIA DE AUDITORIA DE LICITAÇÕES E CONTRATOS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2704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8.65pt;margin-top:13.55pt;width:285.4pt;height:47.7pt;z-index:-16203264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 w:right="1898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ESTADO </w:t>
                </w:r>
                <w:r>
                  <w:rPr>
                    <w:b/>
                    <w:sz w:val="20"/>
                  </w:rPr>
                  <w:t>DE SANTA CATARINA CONTROLADORIA-GERAL DO ESTADO AUDITORIA-GERAL DO ESTADO</w:t>
                </w:r>
              </w:p>
              <w:p w:rsidR="00BA3741" w:rsidRDefault="00EB728C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GERÊNCIA DE AUDITORIA DE LICITAÇÕES E CONTRATOS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15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8.65pt;margin-top:13.55pt;width:285.4pt;height:47.7pt;z-index:-16200192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 w:right="1898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ESTADO </w:t>
                </w:r>
                <w:r>
                  <w:rPr>
                    <w:b/>
                    <w:sz w:val="20"/>
                  </w:rPr>
                  <w:t>DE SANTA CATARINA CONTROLADORIA-GERAL DO ESTADO AUDITORIA-GERAL DO ESTADO</w:t>
                </w:r>
              </w:p>
              <w:p w:rsidR="00BA3741" w:rsidRDefault="00EB728C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GERÊNCIA DE AUDITORIA DE LICITAÇÕES E CONTRATOS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41" w:rsidRDefault="00EB728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21920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180340</wp:posOffset>
          </wp:positionV>
          <wp:extent cx="523875" cy="561975"/>
          <wp:effectExtent l="0" t="0" r="0" b="0"/>
          <wp:wrapNone/>
          <wp:docPr id="2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.65pt;margin-top:13.55pt;width:285.4pt;height:47.7pt;z-index:-16194048;mso-position-horizontal-relative:page;mso-position-vertical-relative:page" filled="f" stroked="f">
          <v:textbox inset="0,0,0,0">
            <w:txbxContent>
              <w:p w:rsidR="00BA3741" w:rsidRDefault="00EB728C">
                <w:pPr>
                  <w:spacing w:before="13"/>
                  <w:ind w:left="20" w:right="1898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ESTADO </w:t>
                </w:r>
                <w:r>
                  <w:rPr>
                    <w:b/>
                    <w:sz w:val="20"/>
                  </w:rPr>
                  <w:t>DE SANTA CATARINA CONTROLADORIA-GERAL DO ESTADO AUDITORIA-GERAL DO ESTADO</w:t>
                </w:r>
              </w:p>
              <w:p w:rsidR="00BA3741" w:rsidRDefault="00EB728C">
                <w:pPr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GERÊNCIA DE AUDITORIA DE LICITAÇÕES E CONTRATOS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1CC"/>
    <w:multiLevelType w:val="hybridMultilevel"/>
    <w:tmpl w:val="F0848876"/>
    <w:lvl w:ilvl="0" w:tplc="77B4D87E">
      <w:start w:val="2"/>
      <w:numFmt w:val="lowerLetter"/>
      <w:lvlText w:val="%1)"/>
      <w:lvlJc w:val="left"/>
      <w:pPr>
        <w:ind w:left="108" w:hanging="26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EA46E32">
      <w:numFmt w:val="bullet"/>
      <w:lvlText w:val="•"/>
      <w:lvlJc w:val="left"/>
      <w:pPr>
        <w:ind w:left="722" w:hanging="268"/>
      </w:pPr>
      <w:rPr>
        <w:rFonts w:hint="default"/>
        <w:lang w:val="pt-PT" w:eastAsia="en-US" w:bidi="ar-SA"/>
      </w:rPr>
    </w:lvl>
    <w:lvl w:ilvl="2" w:tplc="D6669F44">
      <w:numFmt w:val="bullet"/>
      <w:lvlText w:val="•"/>
      <w:lvlJc w:val="left"/>
      <w:pPr>
        <w:ind w:left="1344" w:hanging="268"/>
      </w:pPr>
      <w:rPr>
        <w:rFonts w:hint="default"/>
        <w:lang w:val="pt-PT" w:eastAsia="en-US" w:bidi="ar-SA"/>
      </w:rPr>
    </w:lvl>
    <w:lvl w:ilvl="3" w:tplc="9D82FA72">
      <w:numFmt w:val="bullet"/>
      <w:lvlText w:val="•"/>
      <w:lvlJc w:val="left"/>
      <w:pPr>
        <w:ind w:left="1966" w:hanging="268"/>
      </w:pPr>
      <w:rPr>
        <w:rFonts w:hint="default"/>
        <w:lang w:val="pt-PT" w:eastAsia="en-US" w:bidi="ar-SA"/>
      </w:rPr>
    </w:lvl>
    <w:lvl w:ilvl="4" w:tplc="7806FDCA">
      <w:numFmt w:val="bullet"/>
      <w:lvlText w:val="•"/>
      <w:lvlJc w:val="left"/>
      <w:pPr>
        <w:ind w:left="2588" w:hanging="268"/>
      </w:pPr>
      <w:rPr>
        <w:rFonts w:hint="default"/>
        <w:lang w:val="pt-PT" w:eastAsia="en-US" w:bidi="ar-SA"/>
      </w:rPr>
    </w:lvl>
    <w:lvl w:ilvl="5" w:tplc="B5529974">
      <w:numFmt w:val="bullet"/>
      <w:lvlText w:val="•"/>
      <w:lvlJc w:val="left"/>
      <w:pPr>
        <w:ind w:left="3210" w:hanging="268"/>
      </w:pPr>
      <w:rPr>
        <w:rFonts w:hint="default"/>
        <w:lang w:val="pt-PT" w:eastAsia="en-US" w:bidi="ar-SA"/>
      </w:rPr>
    </w:lvl>
    <w:lvl w:ilvl="6" w:tplc="5CF6B1D4">
      <w:numFmt w:val="bullet"/>
      <w:lvlText w:val="•"/>
      <w:lvlJc w:val="left"/>
      <w:pPr>
        <w:ind w:left="3832" w:hanging="268"/>
      </w:pPr>
      <w:rPr>
        <w:rFonts w:hint="default"/>
        <w:lang w:val="pt-PT" w:eastAsia="en-US" w:bidi="ar-SA"/>
      </w:rPr>
    </w:lvl>
    <w:lvl w:ilvl="7" w:tplc="7FC66C36">
      <w:numFmt w:val="bullet"/>
      <w:lvlText w:val="•"/>
      <w:lvlJc w:val="left"/>
      <w:pPr>
        <w:ind w:left="4454" w:hanging="268"/>
      </w:pPr>
      <w:rPr>
        <w:rFonts w:hint="default"/>
        <w:lang w:val="pt-PT" w:eastAsia="en-US" w:bidi="ar-SA"/>
      </w:rPr>
    </w:lvl>
    <w:lvl w:ilvl="8" w:tplc="BD949148">
      <w:numFmt w:val="bullet"/>
      <w:lvlText w:val="•"/>
      <w:lvlJc w:val="left"/>
      <w:pPr>
        <w:ind w:left="5076" w:hanging="268"/>
      </w:pPr>
      <w:rPr>
        <w:rFonts w:hint="default"/>
        <w:lang w:val="pt-PT" w:eastAsia="en-US" w:bidi="ar-SA"/>
      </w:rPr>
    </w:lvl>
  </w:abstractNum>
  <w:abstractNum w:abstractNumId="1">
    <w:nsid w:val="68194A18"/>
    <w:multiLevelType w:val="hybridMultilevel"/>
    <w:tmpl w:val="A06CD5FC"/>
    <w:lvl w:ilvl="0" w:tplc="E550EDC6">
      <w:start w:val="10"/>
      <w:numFmt w:val="lowerLetter"/>
      <w:lvlText w:val="%1)"/>
      <w:lvlJc w:val="left"/>
      <w:pPr>
        <w:ind w:left="108" w:hanging="37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57326AC2">
      <w:numFmt w:val="bullet"/>
      <w:lvlText w:val="•"/>
      <w:lvlJc w:val="left"/>
      <w:pPr>
        <w:ind w:left="722" w:hanging="379"/>
      </w:pPr>
      <w:rPr>
        <w:rFonts w:hint="default"/>
        <w:lang w:val="pt-PT" w:eastAsia="en-US" w:bidi="ar-SA"/>
      </w:rPr>
    </w:lvl>
    <w:lvl w:ilvl="2" w:tplc="EB6658AA">
      <w:numFmt w:val="bullet"/>
      <w:lvlText w:val="•"/>
      <w:lvlJc w:val="left"/>
      <w:pPr>
        <w:ind w:left="1344" w:hanging="379"/>
      </w:pPr>
      <w:rPr>
        <w:rFonts w:hint="default"/>
        <w:lang w:val="pt-PT" w:eastAsia="en-US" w:bidi="ar-SA"/>
      </w:rPr>
    </w:lvl>
    <w:lvl w:ilvl="3" w:tplc="FA5E9EB4">
      <w:numFmt w:val="bullet"/>
      <w:lvlText w:val="•"/>
      <w:lvlJc w:val="left"/>
      <w:pPr>
        <w:ind w:left="1966" w:hanging="379"/>
      </w:pPr>
      <w:rPr>
        <w:rFonts w:hint="default"/>
        <w:lang w:val="pt-PT" w:eastAsia="en-US" w:bidi="ar-SA"/>
      </w:rPr>
    </w:lvl>
    <w:lvl w:ilvl="4" w:tplc="F45CF334">
      <w:numFmt w:val="bullet"/>
      <w:lvlText w:val="•"/>
      <w:lvlJc w:val="left"/>
      <w:pPr>
        <w:ind w:left="2588" w:hanging="379"/>
      </w:pPr>
      <w:rPr>
        <w:rFonts w:hint="default"/>
        <w:lang w:val="pt-PT" w:eastAsia="en-US" w:bidi="ar-SA"/>
      </w:rPr>
    </w:lvl>
    <w:lvl w:ilvl="5" w:tplc="BF9A2970">
      <w:numFmt w:val="bullet"/>
      <w:lvlText w:val="•"/>
      <w:lvlJc w:val="left"/>
      <w:pPr>
        <w:ind w:left="3210" w:hanging="379"/>
      </w:pPr>
      <w:rPr>
        <w:rFonts w:hint="default"/>
        <w:lang w:val="pt-PT" w:eastAsia="en-US" w:bidi="ar-SA"/>
      </w:rPr>
    </w:lvl>
    <w:lvl w:ilvl="6" w:tplc="2334D5D2">
      <w:numFmt w:val="bullet"/>
      <w:lvlText w:val="•"/>
      <w:lvlJc w:val="left"/>
      <w:pPr>
        <w:ind w:left="3832" w:hanging="379"/>
      </w:pPr>
      <w:rPr>
        <w:rFonts w:hint="default"/>
        <w:lang w:val="pt-PT" w:eastAsia="en-US" w:bidi="ar-SA"/>
      </w:rPr>
    </w:lvl>
    <w:lvl w:ilvl="7" w:tplc="68981280">
      <w:numFmt w:val="bullet"/>
      <w:lvlText w:val="•"/>
      <w:lvlJc w:val="left"/>
      <w:pPr>
        <w:ind w:left="4454" w:hanging="379"/>
      </w:pPr>
      <w:rPr>
        <w:rFonts w:hint="default"/>
        <w:lang w:val="pt-PT" w:eastAsia="en-US" w:bidi="ar-SA"/>
      </w:rPr>
    </w:lvl>
    <w:lvl w:ilvl="8" w:tplc="087613CE">
      <w:numFmt w:val="bullet"/>
      <w:lvlText w:val="•"/>
      <w:lvlJc w:val="left"/>
      <w:pPr>
        <w:ind w:left="5076" w:hanging="379"/>
      </w:pPr>
      <w:rPr>
        <w:rFonts w:hint="default"/>
        <w:lang w:val="pt-PT" w:eastAsia="en-US" w:bidi="ar-SA"/>
      </w:rPr>
    </w:lvl>
  </w:abstractNum>
  <w:abstractNum w:abstractNumId="2">
    <w:nsid w:val="74D02450"/>
    <w:multiLevelType w:val="hybridMultilevel"/>
    <w:tmpl w:val="8A24FB94"/>
    <w:lvl w:ilvl="0" w:tplc="F8825D22">
      <w:numFmt w:val="bullet"/>
      <w:lvlText w:val="-"/>
      <w:lvlJc w:val="left"/>
      <w:pPr>
        <w:ind w:left="242" w:hanging="135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7E2E2972">
      <w:numFmt w:val="bullet"/>
      <w:lvlText w:val="•"/>
      <w:lvlJc w:val="left"/>
      <w:pPr>
        <w:ind w:left="848" w:hanging="135"/>
      </w:pPr>
      <w:rPr>
        <w:rFonts w:hint="default"/>
        <w:lang w:val="pt-PT" w:eastAsia="en-US" w:bidi="ar-SA"/>
      </w:rPr>
    </w:lvl>
    <w:lvl w:ilvl="2" w:tplc="862A7ABE">
      <w:numFmt w:val="bullet"/>
      <w:lvlText w:val="•"/>
      <w:lvlJc w:val="left"/>
      <w:pPr>
        <w:ind w:left="1456" w:hanging="135"/>
      </w:pPr>
      <w:rPr>
        <w:rFonts w:hint="default"/>
        <w:lang w:val="pt-PT" w:eastAsia="en-US" w:bidi="ar-SA"/>
      </w:rPr>
    </w:lvl>
    <w:lvl w:ilvl="3" w:tplc="40D46EF8">
      <w:numFmt w:val="bullet"/>
      <w:lvlText w:val="•"/>
      <w:lvlJc w:val="left"/>
      <w:pPr>
        <w:ind w:left="2064" w:hanging="135"/>
      </w:pPr>
      <w:rPr>
        <w:rFonts w:hint="default"/>
        <w:lang w:val="pt-PT" w:eastAsia="en-US" w:bidi="ar-SA"/>
      </w:rPr>
    </w:lvl>
    <w:lvl w:ilvl="4" w:tplc="C3F057C4">
      <w:numFmt w:val="bullet"/>
      <w:lvlText w:val="•"/>
      <w:lvlJc w:val="left"/>
      <w:pPr>
        <w:ind w:left="2672" w:hanging="135"/>
      </w:pPr>
      <w:rPr>
        <w:rFonts w:hint="default"/>
        <w:lang w:val="pt-PT" w:eastAsia="en-US" w:bidi="ar-SA"/>
      </w:rPr>
    </w:lvl>
    <w:lvl w:ilvl="5" w:tplc="8ABAA66E">
      <w:numFmt w:val="bullet"/>
      <w:lvlText w:val="•"/>
      <w:lvlJc w:val="left"/>
      <w:pPr>
        <w:ind w:left="3280" w:hanging="135"/>
      </w:pPr>
      <w:rPr>
        <w:rFonts w:hint="default"/>
        <w:lang w:val="pt-PT" w:eastAsia="en-US" w:bidi="ar-SA"/>
      </w:rPr>
    </w:lvl>
    <w:lvl w:ilvl="6" w:tplc="35E0490C">
      <w:numFmt w:val="bullet"/>
      <w:lvlText w:val="•"/>
      <w:lvlJc w:val="left"/>
      <w:pPr>
        <w:ind w:left="3888" w:hanging="135"/>
      </w:pPr>
      <w:rPr>
        <w:rFonts w:hint="default"/>
        <w:lang w:val="pt-PT" w:eastAsia="en-US" w:bidi="ar-SA"/>
      </w:rPr>
    </w:lvl>
    <w:lvl w:ilvl="7" w:tplc="AE2A054C">
      <w:numFmt w:val="bullet"/>
      <w:lvlText w:val="•"/>
      <w:lvlJc w:val="left"/>
      <w:pPr>
        <w:ind w:left="4496" w:hanging="135"/>
      </w:pPr>
      <w:rPr>
        <w:rFonts w:hint="default"/>
        <w:lang w:val="pt-PT" w:eastAsia="en-US" w:bidi="ar-SA"/>
      </w:rPr>
    </w:lvl>
    <w:lvl w:ilvl="8" w:tplc="6CEAEF32">
      <w:numFmt w:val="bullet"/>
      <w:lvlText w:val="•"/>
      <w:lvlJc w:val="left"/>
      <w:pPr>
        <w:ind w:left="5104" w:hanging="13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A3741"/>
    <w:rsid w:val="00B132C4"/>
    <w:rsid w:val="00BA3741"/>
    <w:rsid w:val="00E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mailto:cgesc@cge.sc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2025</Words>
  <Characters>10936</Characters>
  <Application>Microsoft Office Word</Application>
  <DocSecurity>0</DocSecurity>
  <Lines>91</Lines>
  <Paragraphs>25</Paragraphs>
  <ScaleCrop>false</ScaleCrop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Ferreira</dc:creator>
  <cp:lastModifiedBy>Leticia Barcelos</cp:lastModifiedBy>
  <cp:revision>2</cp:revision>
  <dcterms:created xsi:type="dcterms:W3CDTF">2020-09-14T17:58:00Z</dcterms:created>
  <dcterms:modified xsi:type="dcterms:W3CDTF">2020-09-14T18:35:00Z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2020-09-14T00:00:00Z</vt:filetime>
  </property>
</Properties>
</file>