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A4819" w14:textId="581EC0A2" w:rsidR="00736335" w:rsidRDefault="00736335" w:rsidP="0084561C">
      <w:pPr>
        <w:jc w:val="center"/>
        <w:rPr>
          <w:b/>
          <w:szCs w:val="24"/>
        </w:rPr>
      </w:pPr>
    </w:p>
    <w:p w14:paraId="2ED0EB55" w14:textId="77777777" w:rsidR="001A5634" w:rsidRDefault="001A5634" w:rsidP="00736335">
      <w:pPr>
        <w:ind w:firstLine="708"/>
        <w:jc w:val="center"/>
        <w:rPr>
          <w:b/>
          <w:szCs w:val="24"/>
        </w:rPr>
      </w:pPr>
    </w:p>
    <w:p w14:paraId="45663163" w14:textId="220C6E1E" w:rsidR="0084561C" w:rsidRDefault="00736335" w:rsidP="0084561C">
      <w:pPr>
        <w:ind w:firstLine="2977"/>
        <w:jc w:val="left"/>
        <w:rPr>
          <w:b/>
          <w:sz w:val="32"/>
          <w:szCs w:val="32"/>
        </w:rPr>
      </w:pPr>
      <w:r w:rsidRPr="001A5634">
        <w:rPr>
          <w:b/>
          <w:sz w:val="32"/>
          <w:szCs w:val="32"/>
        </w:rPr>
        <w:t>Programa de Leniência</w:t>
      </w:r>
      <w:r w:rsidR="0084561C">
        <w:rPr>
          <w:b/>
          <w:sz w:val="32"/>
          <w:szCs w:val="32"/>
        </w:rPr>
        <w:tab/>
      </w:r>
      <w:r w:rsidR="0084561C">
        <w:rPr>
          <w:b/>
          <w:sz w:val="32"/>
          <w:szCs w:val="32"/>
        </w:rPr>
        <w:tab/>
      </w:r>
      <w:r w:rsidR="0084561C">
        <w:rPr>
          <w:b/>
          <w:sz w:val="32"/>
          <w:szCs w:val="32"/>
        </w:rPr>
        <w:tab/>
      </w:r>
    </w:p>
    <w:p w14:paraId="074AFEA7" w14:textId="77777777" w:rsidR="0084561C" w:rsidRDefault="0084561C" w:rsidP="0084561C">
      <w:pPr>
        <w:jc w:val="right"/>
        <w:rPr>
          <w:i/>
          <w:szCs w:val="24"/>
        </w:rPr>
      </w:pPr>
      <w:r>
        <w:rPr>
          <w:i/>
          <w:szCs w:val="24"/>
        </w:rPr>
        <w:t xml:space="preserve">                                      </w:t>
      </w:r>
    </w:p>
    <w:p w14:paraId="171A6C9A" w14:textId="77777777" w:rsidR="001A5634" w:rsidRDefault="001A5634" w:rsidP="00736335">
      <w:pPr>
        <w:ind w:firstLine="709"/>
        <w:rPr>
          <w:szCs w:val="24"/>
        </w:rPr>
      </w:pPr>
      <w:bookmarkStart w:id="0" w:name="_GoBack"/>
      <w:bookmarkEnd w:id="0"/>
    </w:p>
    <w:p w14:paraId="1DA559AF" w14:textId="3E1DFE6D" w:rsidR="00736335" w:rsidRDefault="00F04142" w:rsidP="00736335">
      <w:pPr>
        <w:ind w:firstLine="709"/>
        <w:rPr>
          <w:szCs w:val="24"/>
        </w:rPr>
      </w:pPr>
      <w:r w:rsidRPr="006277EB">
        <w:rPr>
          <w:szCs w:val="24"/>
        </w:rPr>
        <w:t>No</w:t>
      </w:r>
      <w:r w:rsidR="00736335" w:rsidRPr="006277EB">
        <w:rPr>
          <w:szCs w:val="24"/>
        </w:rPr>
        <w:t xml:space="preserve"> Programa de Leniência do Estado de Santa Catarina são </w:t>
      </w:r>
      <w:r w:rsidR="00736335">
        <w:rPr>
          <w:szCs w:val="24"/>
        </w:rPr>
        <w:t xml:space="preserve">contempladas as diretrizes e boas práticas para a composição com pessoas jurídicas responsáveis por atos lesivos à Administração Pública Estadual. Essa </w:t>
      </w:r>
      <w:r>
        <w:rPr>
          <w:szCs w:val="24"/>
        </w:rPr>
        <w:t>co</w:t>
      </w:r>
      <w:r w:rsidR="00736335" w:rsidRPr="00AA76D3">
        <w:rPr>
          <w:szCs w:val="24"/>
        </w:rPr>
        <w:t>mposição</w:t>
      </w:r>
      <w:r w:rsidR="00736335">
        <w:rPr>
          <w:szCs w:val="24"/>
        </w:rPr>
        <w:t xml:space="preserve"> ocorre mediante a negociação e celebração de </w:t>
      </w:r>
      <w:r w:rsidR="001B21A6">
        <w:rPr>
          <w:szCs w:val="24"/>
        </w:rPr>
        <w:t>Acordo de Leniência</w:t>
      </w:r>
      <w:r w:rsidR="00736335">
        <w:rPr>
          <w:szCs w:val="24"/>
        </w:rPr>
        <w:t xml:space="preserve"> das pessoas jurídicas </w:t>
      </w:r>
      <w:r w:rsidR="005D5E8E">
        <w:rPr>
          <w:szCs w:val="24"/>
        </w:rPr>
        <w:t>que apresentarem proposta</w:t>
      </w:r>
      <w:r w:rsidR="00AA76D3" w:rsidRPr="00AA76D3">
        <w:rPr>
          <w:color w:val="7030A0"/>
          <w:szCs w:val="24"/>
        </w:rPr>
        <w:t>s</w:t>
      </w:r>
      <w:r w:rsidR="005D5E8E" w:rsidRPr="00AA76D3">
        <w:rPr>
          <w:color w:val="7030A0"/>
          <w:szCs w:val="24"/>
        </w:rPr>
        <w:t xml:space="preserve"> </w:t>
      </w:r>
      <w:r w:rsidR="005D5E8E">
        <w:rPr>
          <w:szCs w:val="24"/>
        </w:rPr>
        <w:t>junto à</w:t>
      </w:r>
      <w:r w:rsidR="00736335">
        <w:rPr>
          <w:szCs w:val="24"/>
        </w:rPr>
        <w:t xml:space="preserve"> Controladoria</w:t>
      </w:r>
      <w:r w:rsidR="005D5E8E">
        <w:rPr>
          <w:szCs w:val="24"/>
        </w:rPr>
        <w:t>-</w:t>
      </w:r>
      <w:r w:rsidR="00736335">
        <w:rPr>
          <w:szCs w:val="24"/>
        </w:rPr>
        <w:t>Geral do Estado, enquanto órgão central do Sistema Administrativo de Controle Interno.</w:t>
      </w:r>
    </w:p>
    <w:p w14:paraId="6B6E5707" w14:textId="77777777" w:rsidR="00736335" w:rsidRDefault="00736335" w:rsidP="00736335">
      <w:pPr>
        <w:ind w:firstLine="709"/>
        <w:rPr>
          <w:szCs w:val="24"/>
        </w:rPr>
      </w:pPr>
    </w:p>
    <w:p w14:paraId="030D9A30" w14:textId="77777777" w:rsidR="00736335" w:rsidRDefault="00736335" w:rsidP="00736335">
      <w:pPr>
        <w:ind w:firstLine="709"/>
        <w:rPr>
          <w:szCs w:val="24"/>
        </w:rPr>
      </w:pPr>
    </w:p>
    <w:p w14:paraId="3BE0D39E" w14:textId="77777777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 xml:space="preserve">O </w:t>
      </w:r>
      <w:r w:rsidR="001B21A6">
        <w:rPr>
          <w:b/>
          <w:szCs w:val="24"/>
        </w:rPr>
        <w:t>Acordo de Leniência</w:t>
      </w:r>
      <w:r>
        <w:rPr>
          <w:szCs w:val="24"/>
        </w:rPr>
        <w:t xml:space="preserve"> é um instrumento </w:t>
      </w:r>
      <w:r w:rsidRPr="00FD747E">
        <w:rPr>
          <w:szCs w:val="24"/>
        </w:rPr>
        <w:t>de imposição</w:t>
      </w:r>
      <w:r>
        <w:rPr>
          <w:szCs w:val="24"/>
        </w:rPr>
        <w:t xml:space="preserve"> consensual de reprimenda pelo meio do qual a empresa acusada de atos de corrupção se compromete a colaborar com a apuração dos ilícitos, descrevendo o </w:t>
      </w:r>
      <w:r w:rsidRPr="007F3608">
        <w:rPr>
          <w:i/>
          <w:szCs w:val="24"/>
        </w:rPr>
        <w:t>modus operandi</w:t>
      </w:r>
      <w:r>
        <w:rPr>
          <w:szCs w:val="24"/>
        </w:rPr>
        <w:t xml:space="preserve"> e identificando demais empresas e agentes envolvidos em troca da atenuação dos efeitos da condenação administrativa. Trata-se, portanto, de um instrumento de repreensão e de investigação de atos lesivos ao erário em que são oferecidos abrandamentos à sanção de empresas infratoras mediante a apresentação de informações e provas, relevantes e desconhecidas pela Administração Pública, sobre atos ilícitos e respectivos autores.</w:t>
      </w:r>
    </w:p>
    <w:p w14:paraId="3B23265F" w14:textId="77777777" w:rsidR="00736335" w:rsidRDefault="00736335" w:rsidP="00736335">
      <w:pPr>
        <w:ind w:firstLine="709"/>
        <w:rPr>
          <w:szCs w:val="24"/>
        </w:rPr>
      </w:pPr>
    </w:p>
    <w:p w14:paraId="4E83F06A" w14:textId="77777777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 xml:space="preserve">O instituto do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foi introduzido no ordenamento jurídico brasileiro no âmbito do </w:t>
      </w:r>
      <w:r w:rsidRPr="003B75A2">
        <w:rPr>
          <w:szCs w:val="24"/>
        </w:rPr>
        <w:t>Conselho Administrativo de Defesa Econômica – CADE</w:t>
      </w:r>
      <w:r w:rsidR="00FD747E">
        <w:rPr>
          <w:szCs w:val="24"/>
        </w:rPr>
        <w:t>,</w:t>
      </w:r>
      <w:r w:rsidRPr="003B75A2">
        <w:rPr>
          <w:szCs w:val="24"/>
        </w:rPr>
        <w:t xml:space="preserve"> </w:t>
      </w:r>
      <w:r>
        <w:rPr>
          <w:szCs w:val="24"/>
        </w:rPr>
        <w:t>para apuração</w:t>
      </w:r>
      <w:r w:rsidRPr="003B75A2">
        <w:rPr>
          <w:szCs w:val="24"/>
        </w:rPr>
        <w:t xml:space="preserve"> e repressão às infrações contra a ordem econômica,</w:t>
      </w:r>
      <w:r>
        <w:rPr>
          <w:szCs w:val="24"/>
        </w:rPr>
        <w:t xml:space="preserve"> inicialmente pela </w:t>
      </w:r>
      <w:r w:rsidRPr="003B75A2">
        <w:rPr>
          <w:szCs w:val="24"/>
        </w:rPr>
        <w:t>Lei nº 10.149, de 21 de dezembro de 2000</w:t>
      </w:r>
      <w:r>
        <w:rPr>
          <w:rStyle w:val="Refdenotaderodap"/>
          <w:szCs w:val="24"/>
        </w:rPr>
        <w:footnoteReference w:id="1"/>
      </w:r>
      <w:r>
        <w:rPr>
          <w:szCs w:val="24"/>
        </w:rPr>
        <w:t>, posteriormente robustecida pela Lei nº 12.529, de 30 de novembro de 2011</w:t>
      </w:r>
      <w:r>
        <w:rPr>
          <w:rStyle w:val="Refdenotaderodap"/>
          <w:szCs w:val="24"/>
        </w:rPr>
        <w:footnoteReference w:id="2"/>
      </w:r>
      <w:r>
        <w:rPr>
          <w:szCs w:val="24"/>
        </w:rPr>
        <w:t xml:space="preserve"> (arts. 86 e 87). Trata-se de importante instrumento na atuação </w:t>
      </w:r>
      <w:r w:rsidRPr="00FD747E">
        <w:rPr>
          <w:i/>
          <w:szCs w:val="24"/>
        </w:rPr>
        <w:t>antidumping</w:t>
      </w:r>
      <w:r>
        <w:rPr>
          <w:szCs w:val="24"/>
        </w:rPr>
        <w:t xml:space="preserve"> para desbaratar cartéis por meio do incentivo à autoincriminação e indicação dos coautores do ilícito investigado.</w:t>
      </w:r>
    </w:p>
    <w:p w14:paraId="36AAED8C" w14:textId="77777777" w:rsidR="00736335" w:rsidRDefault="00736335" w:rsidP="00736335">
      <w:pPr>
        <w:ind w:firstLine="709"/>
        <w:rPr>
          <w:szCs w:val="24"/>
        </w:rPr>
      </w:pPr>
    </w:p>
    <w:p w14:paraId="5667E1EF" w14:textId="77777777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 xml:space="preserve">Também na esfera do combate à corrupção 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tem expressiva importância, eis que</w:t>
      </w:r>
      <w:r w:rsidR="00FD747E">
        <w:rPr>
          <w:szCs w:val="24"/>
        </w:rPr>
        <w:t>,</w:t>
      </w:r>
      <w:r>
        <w:rPr>
          <w:szCs w:val="24"/>
        </w:rPr>
        <w:t xml:space="preserve"> em geral</w:t>
      </w:r>
      <w:r w:rsidR="00FD747E">
        <w:rPr>
          <w:szCs w:val="24"/>
        </w:rPr>
        <w:t>,</w:t>
      </w:r>
      <w:r>
        <w:rPr>
          <w:szCs w:val="24"/>
        </w:rPr>
        <w:t xml:space="preserve"> tais ilícitos são de difícil comprovação dada a condução especializada e dissimulada da atividade criminosa. Nessa área, 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foi instituído como instrumento de apuração da responsabilidade administrativa de pessoas jurídicas</w:t>
      </w:r>
      <w:r>
        <w:rPr>
          <w:rStyle w:val="Refdenotaderodap"/>
          <w:szCs w:val="24"/>
        </w:rPr>
        <w:footnoteReference w:id="3"/>
      </w:r>
      <w:r>
        <w:rPr>
          <w:szCs w:val="24"/>
        </w:rPr>
        <w:t xml:space="preserve"> pela Lei nº 12.846, de 1º de agosto de 2013, chamada Lei Anticorrupção ou Lei Empresa Limpa. </w:t>
      </w:r>
    </w:p>
    <w:p w14:paraId="6A537200" w14:textId="77777777" w:rsidR="00736335" w:rsidRDefault="00736335" w:rsidP="00736335">
      <w:pPr>
        <w:ind w:firstLine="709"/>
        <w:rPr>
          <w:szCs w:val="24"/>
        </w:rPr>
      </w:pPr>
    </w:p>
    <w:p w14:paraId="1E496496" w14:textId="77777777" w:rsidR="00736335" w:rsidRDefault="00736335" w:rsidP="00736335">
      <w:pPr>
        <w:ind w:firstLine="709"/>
      </w:pPr>
      <w:r>
        <w:rPr>
          <w:szCs w:val="24"/>
        </w:rPr>
        <w:t xml:space="preserve">A Lei Anticorrupção é fruto de um movimento mundial de combate à corrupção deflagrado por organismos multilaterais tais como a </w:t>
      </w:r>
      <w:r w:rsidRPr="00495944">
        <w:rPr>
          <w:szCs w:val="24"/>
        </w:rPr>
        <w:t>Organização para a Cooperação e Desenvolvimento Econômico (OCDE)</w:t>
      </w:r>
      <w:r>
        <w:rPr>
          <w:szCs w:val="24"/>
        </w:rPr>
        <w:t xml:space="preserve"> que em 1997 aprovou a </w:t>
      </w:r>
      <w:r w:rsidRPr="005E0B2E">
        <w:rPr>
          <w:szCs w:val="24"/>
        </w:rPr>
        <w:t>Convenção sobre o Combate da Corrupção de Funcionários Públicos Estrangeiros em Transações Comerciais Internacionais (Promulgada no Brasil pelo Decreto nº 3.678, de 30 de novembro de 2000</w:t>
      </w:r>
      <w:r>
        <w:rPr>
          <w:rStyle w:val="Refdenotaderodap"/>
        </w:rPr>
        <w:footnoteReference w:id="4"/>
      </w:r>
      <w:r w:rsidRPr="005E0B2E">
        <w:rPr>
          <w:szCs w:val="24"/>
        </w:rPr>
        <w:t>) e a Organização das Nações Unidas, que em 2003 aprovou a Convenção das Nações Unidas Contra a Corrupção (Promulgada no Brasil pelo Decreto nº 5.687, de 31 de janeiro de 2006</w:t>
      </w:r>
      <w:r>
        <w:rPr>
          <w:rStyle w:val="Refdenotaderodap"/>
        </w:rPr>
        <w:footnoteReference w:id="5"/>
      </w:r>
      <w:r>
        <w:t>).</w:t>
      </w:r>
    </w:p>
    <w:p w14:paraId="00A48844" w14:textId="77777777" w:rsidR="00736335" w:rsidRDefault="00736335" w:rsidP="00736335">
      <w:pPr>
        <w:ind w:firstLine="709"/>
      </w:pPr>
    </w:p>
    <w:p w14:paraId="430C4DE7" w14:textId="77777777" w:rsidR="00736335" w:rsidRPr="005E0B2E" w:rsidRDefault="00736335" w:rsidP="00736335">
      <w:pPr>
        <w:ind w:firstLine="709"/>
        <w:rPr>
          <w:szCs w:val="24"/>
        </w:rPr>
      </w:pPr>
      <w:r w:rsidRPr="005E0B2E">
        <w:rPr>
          <w:szCs w:val="24"/>
        </w:rPr>
        <w:lastRenderedPageBreak/>
        <w:t xml:space="preserve">Os Estados signatários das referidas Convenções estabeleceram </w:t>
      </w:r>
      <w:r w:rsidR="005B1538">
        <w:rPr>
          <w:szCs w:val="24"/>
        </w:rPr>
        <w:t>o compromisso</w:t>
      </w:r>
      <w:r w:rsidRPr="005E0B2E">
        <w:rPr>
          <w:szCs w:val="24"/>
        </w:rPr>
        <w:t xml:space="preserve"> de introduzir em seus</w:t>
      </w:r>
      <w:r>
        <w:rPr>
          <w:szCs w:val="24"/>
        </w:rPr>
        <w:t xml:space="preserve"> respectivos</w:t>
      </w:r>
      <w:r w:rsidRPr="005E0B2E">
        <w:rPr>
          <w:szCs w:val="24"/>
        </w:rPr>
        <w:t xml:space="preserve"> ordenamentos jurídicos, de acordo com os princípios fundamentais</w:t>
      </w:r>
      <w:r>
        <w:rPr>
          <w:szCs w:val="24"/>
        </w:rPr>
        <w:t xml:space="preserve"> que</w:t>
      </w:r>
      <w:r w:rsidRPr="005E0B2E">
        <w:rPr>
          <w:szCs w:val="24"/>
        </w:rPr>
        <w:t xml:space="preserve"> regem cada qual, normas que estabeleçam políticas coordenadas e eficazes contra a corrupção</w:t>
      </w:r>
      <w:r w:rsidR="00CF0268" w:rsidRPr="003810CD">
        <w:rPr>
          <w:szCs w:val="24"/>
        </w:rPr>
        <w:t>,</w:t>
      </w:r>
      <w:r w:rsidRPr="003810CD">
        <w:rPr>
          <w:szCs w:val="24"/>
        </w:rPr>
        <w:t xml:space="preserve"> que promovam a participação da sociedade e</w:t>
      </w:r>
      <w:r w:rsidR="00CF0268" w:rsidRPr="003810CD">
        <w:rPr>
          <w:szCs w:val="24"/>
        </w:rPr>
        <w:t xml:space="preserve"> que</w:t>
      </w:r>
      <w:r w:rsidRPr="003810CD">
        <w:rPr>
          <w:szCs w:val="24"/>
        </w:rPr>
        <w:t xml:space="preserve"> reflitam os princípios do Estado de Direito,</w:t>
      </w:r>
      <w:r w:rsidRPr="005E0B2E">
        <w:rPr>
          <w:szCs w:val="24"/>
        </w:rPr>
        <w:t xml:space="preserve"> a devida gestão dos assuntos e bens públicos, a integridade, a transparência e a obrigação de prestar contas. </w:t>
      </w:r>
      <w:r>
        <w:rPr>
          <w:szCs w:val="24"/>
        </w:rPr>
        <w:t>Além do estabelecimento de medidas repressivas contra atos lesivos à Administração Pública, as convenções também preveem o fomento a</w:t>
      </w:r>
      <w:r w:rsidRPr="005E0B2E">
        <w:rPr>
          <w:szCs w:val="24"/>
        </w:rPr>
        <w:t xml:space="preserve"> práticas eficazes </w:t>
      </w:r>
      <w:r>
        <w:rPr>
          <w:szCs w:val="24"/>
        </w:rPr>
        <w:t xml:space="preserve">para </w:t>
      </w:r>
      <w:r w:rsidRPr="005E0B2E">
        <w:rPr>
          <w:szCs w:val="24"/>
        </w:rPr>
        <w:t>a prevenir a corrupção</w:t>
      </w:r>
      <w:r>
        <w:rPr>
          <w:rStyle w:val="Refdenotaderodap"/>
          <w:szCs w:val="24"/>
        </w:rPr>
        <w:footnoteReference w:id="6"/>
      </w:r>
      <w:r w:rsidRPr="005E0B2E">
        <w:rPr>
          <w:szCs w:val="24"/>
        </w:rPr>
        <w:t xml:space="preserve">. </w:t>
      </w:r>
    </w:p>
    <w:p w14:paraId="4A156F69" w14:textId="77777777" w:rsidR="00736335" w:rsidRDefault="00736335" w:rsidP="00736335">
      <w:pPr>
        <w:ind w:firstLine="709"/>
        <w:rPr>
          <w:szCs w:val="24"/>
        </w:rPr>
      </w:pPr>
    </w:p>
    <w:p w14:paraId="335FE1F1" w14:textId="77777777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>Imbuída des</w:t>
      </w:r>
      <w:r w:rsidR="005B1538">
        <w:rPr>
          <w:szCs w:val="24"/>
        </w:rPr>
        <w:t>s</w:t>
      </w:r>
      <w:r>
        <w:rPr>
          <w:szCs w:val="24"/>
        </w:rPr>
        <w:t xml:space="preserve">e espírito, a Lei Anticorrupção instituiu a </w:t>
      </w:r>
      <w:r w:rsidR="005B1538">
        <w:rPr>
          <w:szCs w:val="24"/>
        </w:rPr>
        <w:t>I</w:t>
      </w:r>
      <w:r>
        <w:rPr>
          <w:szCs w:val="24"/>
        </w:rPr>
        <w:t xml:space="preserve">nvestigação </w:t>
      </w:r>
      <w:r w:rsidR="005B1538">
        <w:rPr>
          <w:szCs w:val="24"/>
        </w:rPr>
        <w:t>P</w:t>
      </w:r>
      <w:r>
        <w:rPr>
          <w:szCs w:val="24"/>
        </w:rPr>
        <w:t>reliminar e o Processo Administrativo de Responsabilização (PAR) como instrumentos de apuração e</w:t>
      </w:r>
      <w:r w:rsidR="005B1538">
        <w:rPr>
          <w:szCs w:val="24"/>
        </w:rPr>
        <w:t xml:space="preserve"> penalização das infrações, e 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como método consensual de imposição de reprimenda às empresas envolvidas. Como regra, a Lei Anticorrupção estabeleceu a </w:t>
      </w:r>
      <w:r w:rsidRPr="00A956AE">
        <w:rPr>
          <w:b/>
          <w:szCs w:val="24"/>
        </w:rPr>
        <w:t>responsabilidade</w:t>
      </w:r>
      <w:r>
        <w:rPr>
          <w:szCs w:val="24"/>
        </w:rPr>
        <w:t xml:space="preserve"> </w:t>
      </w:r>
      <w:r w:rsidRPr="00A956AE">
        <w:rPr>
          <w:b/>
          <w:szCs w:val="24"/>
        </w:rPr>
        <w:t>objetiva</w:t>
      </w:r>
      <w:r>
        <w:rPr>
          <w:szCs w:val="24"/>
        </w:rPr>
        <w:t xml:space="preserve"> de pessoas jurídicas pela prática de atos de corrupção de seus agentes. Isso significa que para a pessoa jurídica ser condenada por atos de corrupção não é necessário que a alta administração da mesma tenha a intenção de corromper (dolo), basta que seja provado o dano à Administração Pública, a conduta de algum agente da empresa e o nexo causal entre a conduta e o dano.</w:t>
      </w:r>
    </w:p>
    <w:p w14:paraId="006BA961" w14:textId="77777777" w:rsidR="00736335" w:rsidRDefault="00736335" w:rsidP="00736335">
      <w:pPr>
        <w:ind w:firstLine="709"/>
        <w:rPr>
          <w:szCs w:val="24"/>
        </w:rPr>
      </w:pPr>
    </w:p>
    <w:p w14:paraId="3D4DA503" w14:textId="77777777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>No Estado de Santa Catarina, a Lei Anticorrupção foi regulamentada pelo Decreto nº 1.106, de 31 de março de 2017, que estabelece o procedimento de cada um desses instrumentos e confere à Controladoria-Geral do Estado</w:t>
      </w:r>
      <w:r w:rsidR="00B813A7">
        <w:rPr>
          <w:szCs w:val="24"/>
        </w:rPr>
        <w:t xml:space="preserve"> - CGE</w:t>
      </w:r>
      <w:r>
        <w:rPr>
          <w:szCs w:val="24"/>
        </w:rPr>
        <w:t>, enquanto órgão central do Sistema Administrativo de Controle Interno, a competência de supervisionar sua aplicação e expedir normas complementares que se fizerem necessárias.</w:t>
      </w:r>
    </w:p>
    <w:p w14:paraId="66C03576" w14:textId="77777777" w:rsidR="00736335" w:rsidRDefault="00736335" w:rsidP="00736335">
      <w:pPr>
        <w:ind w:firstLine="709"/>
        <w:rPr>
          <w:szCs w:val="24"/>
        </w:rPr>
      </w:pPr>
    </w:p>
    <w:p w14:paraId="76CFDF35" w14:textId="77777777" w:rsidR="00736335" w:rsidRPr="009B6975" w:rsidRDefault="00736335" w:rsidP="00736335">
      <w:pPr>
        <w:ind w:firstLine="709"/>
        <w:rPr>
          <w:szCs w:val="24"/>
        </w:rPr>
      </w:pPr>
      <w:r>
        <w:rPr>
          <w:szCs w:val="24"/>
        </w:rPr>
        <w:t>Segundo a Control</w:t>
      </w:r>
      <w:r w:rsidR="005B1538">
        <w:rPr>
          <w:szCs w:val="24"/>
        </w:rPr>
        <w:t xml:space="preserve">adoria-Geral da União - CGU, 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possui q</w:t>
      </w:r>
      <w:r w:rsidRPr="009B6975">
        <w:rPr>
          <w:szCs w:val="24"/>
        </w:rPr>
        <w:t>uatro pilares</w:t>
      </w:r>
      <w:r w:rsidR="003810CD">
        <w:rPr>
          <w:szCs w:val="24"/>
        </w:rPr>
        <w:t>, a saber</w:t>
      </w:r>
      <w:r w:rsidRPr="009B6975">
        <w:rPr>
          <w:szCs w:val="24"/>
        </w:rPr>
        <w:t>:</w:t>
      </w:r>
      <w:r w:rsidR="003810CD">
        <w:rPr>
          <w:szCs w:val="24"/>
        </w:rPr>
        <w:t xml:space="preserve"> I)</w:t>
      </w:r>
      <w:r w:rsidRPr="009B6975">
        <w:rPr>
          <w:szCs w:val="24"/>
        </w:rPr>
        <w:t xml:space="preserve"> alavancagem investigatória, com novos elementos de prova; </w:t>
      </w:r>
      <w:r w:rsidR="003810CD">
        <w:rPr>
          <w:szCs w:val="24"/>
        </w:rPr>
        <w:t xml:space="preserve">II) </w:t>
      </w:r>
      <w:r>
        <w:rPr>
          <w:szCs w:val="24"/>
        </w:rPr>
        <w:t>recuperação de ativos (</w:t>
      </w:r>
      <w:r w:rsidRPr="009B6975">
        <w:rPr>
          <w:szCs w:val="24"/>
        </w:rPr>
        <w:t>reparação dos danos causados pelo ilícito</w:t>
      </w:r>
      <w:r>
        <w:rPr>
          <w:szCs w:val="24"/>
        </w:rPr>
        <w:t>)</w:t>
      </w:r>
      <w:r w:rsidRPr="009B6975">
        <w:rPr>
          <w:szCs w:val="24"/>
        </w:rPr>
        <w:t xml:space="preserve">; </w:t>
      </w:r>
      <w:r w:rsidR="003810CD" w:rsidRPr="0083759A">
        <w:rPr>
          <w:szCs w:val="24"/>
        </w:rPr>
        <w:t xml:space="preserve">III) </w:t>
      </w:r>
      <w:r w:rsidRPr="0083759A">
        <w:rPr>
          <w:szCs w:val="24"/>
        </w:rPr>
        <w:t xml:space="preserve">efetividade nos programas de integridade e </w:t>
      </w:r>
      <w:r w:rsidRPr="0083759A">
        <w:rPr>
          <w:i/>
          <w:szCs w:val="24"/>
        </w:rPr>
        <w:t>compliance</w:t>
      </w:r>
      <w:r w:rsidRPr="0083759A">
        <w:rPr>
          <w:szCs w:val="24"/>
        </w:rPr>
        <w:t>;</w:t>
      </w:r>
      <w:r w:rsidRPr="009B6975">
        <w:rPr>
          <w:szCs w:val="24"/>
        </w:rPr>
        <w:t xml:space="preserve"> e</w:t>
      </w:r>
      <w:r w:rsidR="003810CD">
        <w:rPr>
          <w:szCs w:val="24"/>
        </w:rPr>
        <w:t>, IV)</w:t>
      </w:r>
      <w:r w:rsidRPr="009B6975">
        <w:rPr>
          <w:szCs w:val="24"/>
        </w:rPr>
        <w:t xml:space="preserve"> risco de perda dos benefícios.</w:t>
      </w:r>
    </w:p>
    <w:p w14:paraId="1FB2F150" w14:textId="77777777" w:rsidR="00736335" w:rsidRDefault="00736335" w:rsidP="00736335">
      <w:pPr>
        <w:ind w:firstLine="709"/>
        <w:rPr>
          <w:szCs w:val="24"/>
        </w:rPr>
      </w:pPr>
    </w:p>
    <w:p w14:paraId="2EE043AF" w14:textId="77777777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>Como incentivo à colaboração da empresa e para angariar elementos comprobatórios das práticas ilícitas são oferecidos benefícios que podem chegar:</w:t>
      </w:r>
    </w:p>
    <w:p w14:paraId="6C915E33" w14:textId="77777777" w:rsidR="00736335" w:rsidRPr="0036315C" w:rsidRDefault="00736335" w:rsidP="00736335">
      <w:pPr>
        <w:pStyle w:val="PargrafodaLista"/>
        <w:numPr>
          <w:ilvl w:val="0"/>
          <w:numId w:val="5"/>
        </w:numPr>
        <w:rPr>
          <w:szCs w:val="24"/>
        </w:rPr>
      </w:pPr>
      <w:r w:rsidRPr="0036315C">
        <w:rPr>
          <w:szCs w:val="24"/>
        </w:rPr>
        <w:t xml:space="preserve">à isenção da publicação extraordinária da decisão administrativa sancionadora; </w:t>
      </w:r>
    </w:p>
    <w:p w14:paraId="1FD7AB43" w14:textId="77777777" w:rsidR="00736335" w:rsidRDefault="00736335" w:rsidP="00736335">
      <w:pPr>
        <w:pStyle w:val="PargrafodaLista"/>
        <w:numPr>
          <w:ilvl w:val="0"/>
          <w:numId w:val="5"/>
        </w:numPr>
        <w:rPr>
          <w:szCs w:val="24"/>
        </w:rPr>
      </w:pPr>
      <w:r w:rsidRPr="0036315C">
        <w:rPr>
          <w:szCs w:val="24"/>
        </w:rPr>
        <w:t xml:space="preserve">à isenção da proibição de receber incentivos, subsídios, subvenções, doações ou empréstimos de órgãos ou entidades públicos e de instituições financeiras públicas ou controladas pelo Poder Público; </w:t>
      </w:r>
    </w:p>
    <w:p w14:paraId="2FD1F000" w14:textId="77777777" w:rsidR="00736335" w:rsidRDefault="00736335" w:rsidP="00736335">
      <w:pPr>
        <w:pStyle w:val="PargrafodaLista"/>
        <w:numPr>
          <w:ilvl w:val="0"/>
          <w:numId w:val="5"/>
        </w:numPr>
        <w:rPr>
          <w:szCs w:val="24"/>
        </w:rPr>
      </w:pPr>
      <w:r w:rsidRPr="0036315C">
        <w:rPr>
          <w:szCs w:val="24"/>
        </w:rPr>
        <w:t xml:space="preserve">à isenção ou atenuação dos efeitos da sanções administrativas decorrentes da legislação de licitações e contratos (suspensão, impedimento de contratar e declaração de inidoneidade); ou </w:t>
      </w:r>
    </w:p>
    <w:p w14:paraId="23F0EE7E" w14:textId="77777777" w:rsidR="00736335" w:rsidRDefault="00736335" w:rsidP="00736335">
      <w:pPr>
        <w:pStyle w:val="PargrafodaLista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à </w:t>
      </w:r>
      <w:r w:rsidRPr="0036315C">
        <w:rPr>
          <w:szCs w:val="24"/>
        </w:rPr>
        <w:t xml:space="preserve">redução de até 2/3 (dois terços) da multa aplicada no PAR. </w:t>
      </w:r>
    </w:p>
    <w:p w14:paraId="6CFA1DFB" w14:textId="77777777" w:rsidR="00736335" w:rsidRDefault="00736335" w:rsidP="00736335">
      <w:pPr>
        <w:pStyle w:val="PargrafodaLista"/>
        <w:ind w:left="1429"/>
        <w:rPr>
          <w:szCs w:val="24"/>
        </w:rPr>
      </w:pPr>
    </w:p>
    <w:p w14:paraId="525D0797" w14:textId="77777777" w:rsidR="00736335" w:rsidRPr="0036315C" w:rsidRDefault="00736335" w:rsidP="00736335">
      <w:pPr>
        <w:ind w:firstLine="708"/>
        <w:rPr>
          <w:szCs w:val="24"/>
        </w:rPr>
      </w:pPr>
      <w:r w:rsidRPr="0036315C">
        <w:rPr>
          <w:szCs w:val="24"/>
        </w:rPr>
        <w:t xml:space="preserve">A obtenção destes benefícios depende da sua previsão no </w:t>
      </w:r>
      <w:r w:rsidR="001B21A6">
        <w:rPr>
          <w:szCs w:val="24"/>
        </w:rPr>
        <w:t>Acordo de Leniência</w:t>
      </w:r>
      <w:r w:rsidRPr="0036315C">
        <w:rPr>
          <w:szCs w:val="24"/>
        </w:rPr>
        <w:t xml:space="preserve"> e do respectivo cumprimento </w:t>
      </w:r>
      <w:r>
        <w:rPr>
          <w:szCs w:val="24"/>
        </w:rPr>
        <w:t>i</w:t>
      </w:r>
      <w:r w:rsidRPr="0036315C">
        <w:rPr>
          <w:szCs w:val="24"/>
        </w:rPr>
        <w:t>ntegra</w:t>
      </w:r>
      <w:r>
        <w:rPr>
          <w:szCs w:val="24"/>
        </w:rPr>
        <w:t>l</w:t>
      </w:r>
      <w:r w:rsidRPr="0036315C">
        <w:rPr>
          <w:szCs w:val="24"/>
        </w:rPr>
        <w:t xml:space="preserve"> de suas cláusulas pela pessoa jurídica celebrante (Art. 16 da Lei Anticorrupção e art. 50 do Decreto nº 1.106, de 2017).</w:t>
      </w:r>
    </w:p>
    <w:p w14:paraId="55F90ACA" w14:textId="0E4B1602" w:rsidR="00736335" w:rsidRDefault="00736335" w:rsidP="00736335">
      <w:pPr>
        <w:ind w:firstLine="709"/>
        <w:rPr>
          <w:szCs w:val="24"/>
        </w:rPr>
      </w:pPr>
    </w:p>
    <w:p w14:paraId="71980ACA" w14:textId="70E2CCD5" w:rsidR="0067626A" w:rsidRDefault="0067626A" w:rsidP="00736335">
      <w:pPr>
        <w:ind w:firstLine="709"/>
        <w:rPr>
          <w:szCs w:val="24"/>
        </w:rPr>
      </w:pPr>
    </w:p>
    <w:p w14:paraId="47D9057C" w14:textId="6BB4347F" w:rsidR="0067626A" w:rsidRDefault="0067626A" w:rsidP="00736335">
      <w:pPr>
        <w:ind w:firstLine="709"/>
        <w:rPr>
          <w:szCs w:val="24"/>
        </w:rPr>
      </w:pPr>
    </w:p>
    <w:p w14:paraId="7B4ECCCA" w14:textId="77777777" w:rsidR="0067626A" w:rsidRDefault="0067626A" w:rsidP="00736335">
      <w:pPr>
        <w:ind w:firstLine="709"/>
        <w:rPr>
          <w:szCs w:val="24"/>
        </w:rPr>
      </w:pPr>
    </w:p>
    <w:p w14:paraId="4E1FC68B" w14:textId="77777777" w:rsidR="00736335" w:rsidRDefault="00736335" w:rsidP="00736335">
      <w:pPr>
        <w:ind w:firstLine="709"/>
        <w:rPr>
          <w:szCs w:val="24"/>
        </w:rPr>
      </w:pPr>
    </w:p>
    <w:p w14:paraId="34109033" w14:textId="77777777" w:rsidR="00736335" w:rsidRPr="001C6069" w:rsidRDefault="00081792" w:rsidP="00081792">
      <w:pPr>
        <w:rPr>
          <w:b/>
          <w:szCs w:val="24"/>
        </w:rPr>
      </w:pPr>
      <w:r>
        <w:rPr>
          <w:b/>
          <w:szCs w:val="24"/>
        </w:rPr>
        <w:t xml:space="preserve">Da </w:t>
      </w:r>
      <w:r w:rsidR="00736335" w:rsidRPr="001C6069">
        <w:rPr>
          <w:b/>
          <w:szCs w:val="24"/>
        </w:rPr>
        <w:t>Competência</w:t>
      </w:r>
      <w:r>
        <w:rPr>
          <w:b/>
          <w:szCs w:val="24"/>
        </w:rPr>
        <w:t xml:space="preserve"> para a Celebração</w:t>
      </w:r>
    </w:p>
    <w:p w14:paraId="7A78B5DD" w14:textId="77777777" w:rsidR="00736335" w:rsidRDefault="00736335" w:rsidP="00736335">
      <w:pPr>
        <w:ind w:firstLine="709"/>
        <w:rPr>
          <w:szCs w:val="24"/>
        </w:rPr>
      </w:pPr>
    </w:p>
    <w:p w14:paraId="03E5C81D" w14:textId="77777777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 xml:space="preserve">No Estado de Santa Catarina, compete exclusivamente à </w:t>
      </w:r>
      <w:r w:rsidR="00B813A7">
        <w:rPr>
          <w:szCs w:val="24"/>
        </w:rPr>
        <w:t>CGE</w:t>
      </w:r>
      <w:r>
        <w:rPr>
          <w:szCs w:val="24"/>
        </w:rPr>
        <w:t xml:space="preserve">, enquanto órgão central do Sistema Administrativo de Controle Interno, a instrução, negociação e celebração do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(art. 36 do Decreto nº 1.106, de 2017). A instrução e negociação serão conduzidas por uma comissão de no mínimo 3 (três) servidores públicos efetivos, um dos quais ocupante do cargo de Auditor Interno do Poder Executivo, que a presidirá (art. 40 do Decreto nº 1.106, de 2017).</w:t>
      </w:r>
    </w:p>
    <w:p w14:paraId="213AB882" w14:textId="77777777" w:rsidR="00736335" w:rsidRDefault="00736335" w:rsidP="00736335">
      <w:pPr>
        <w:ind w:firstLine="709"/>
        <w:rPr>
          <w:szCs w:val="24"/>
        </w:rPr>
      </w:pPr>
    </w:p>
    <w:p w14:paraId="64C52100" w14:textId="77777777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>O órgão central do Sistema Administrativo de Controle Interno poderá requisitar servidores ou empregados do órgão ou entidade lesados para compor a comissão de negociação, bem como poderá requisitar autos de processos que apurem fatos relacionados ao objeto do acordo.</w:t>
      </w:r>
      <w:r w:rsidRPr="00B02E7A">
        <w:rPr>
          <w:szCs w:val="24"/>
        </w:rPr>
        <w:t xml:space="preserve"> </w:t>
      </w:r>
      <w:r>
        <w:rPr>
          <w:szCs w:val="24"/>
        </w:rPr>
        <w:t>(art. 40 do Decreto nº 1.106, de 2017).</w:t>
      </w:r>
    </w:p>
    <w:p w14:paraId="5F3D15CE" w14:textId="561FFCA2" w:rsidR="00736335" w:rsidRDefault="00736335" w:rsidP="00736335">
      <w:pPr>
        <w:ind w:firstLine="709"/>
        <w:rPr>
          <w:szCs w:val="24"/>
        </w:rPr>
      </w:pPr>
    </w:p>
    <w:p w14:paraId="242BA93F" w14:textId="77777777" w:rsidR="006277EB" w:rsidRDefault="006277EB" w:rsidP="00736335">
      <w:pPr>
        <w:ind w:firstLine="709"/>
        <w:rPr>
          <w:szCs w:val="24"/>
        </w:rPr>
      </w:pPr>
    </w:p>
    <w:p w14:paraId="457A660A" w14:textId="77777777" w:rsidR="00736335" w:rsidRPr="001C6069" w:rsidRDefault="00081792" w:rsidP="00B813A7">
      <w:pPr>
        <w:rPr>
          <w:b/>
          <w:szCs w:val="24"/>
        </w:rPr>
      </w:pPr>
      <w:r>
        <w:rPr>
          <w:b/>
          <w:szCs w:val="24"/>
        </w:rPr>
        <w:t xml:space="preserve">Dos </w:t>
      </w:r>
      <w:r w:rsidR="00B813A7">
        <w:rPr>
          <w:b/>
          <w:szCs w:val="24"/>
        </w:rPr>
        <w:t xml:space="preserve">Requisitos para a Propositura do </w:t>
      </w:r>
      <w:r w:rsidR="001B21A6">
        <w:rPr>
          <w:b/>
          <w:szCs w:val="24"/>
        </w:rPr>
        <w:t>Acordo de Leniência</w:t>
      </w:r>
    </w:p>
    <w:p w14:paraId="03A95E2F" w14:textId="77777777" w:rsidR="00736335" w:rsidRDefault="00736335" w:rsidP="00736335">
      <w:pPr>
        <w:ind w:firstLine="709"/>
        <w:rPr>
          <w:szCs w:val="24"/>
        </w:rPr>
      </w:pPr>
    </w:p>
    <w:p w14:paraId="138EEEAB" w14:textId="77777777" w:rsidR="00736335" w:rsidRDefault="00736335" w:rsidP="00736335">
      <w:pPr>
        <w:ind w:firstLine="709"/>
        <w:rPr>
          <w:szCs w:val="24"/>
        </w:rPr>
      </w:pPr>
    </w:p>
    <w:p w14:paraId="6D66D56F" w14:textId="77777777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>O p</w:t>
      </w:r>
      <w:r w:rsidR="00B813A7">
        <w:rPr>
          <w:szCs w:val="24"/>
        </w:rPr>
        <w:t xml:space="preserve">rocedimento para celebração de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se inicia necessariamente com a apresentação de proposta da pessoa jurídica, geralmente já envolvida em atos sob investigação preliminar ou apurados em PAR. Na proposta a pessoa jurídica, por seu representante legal, deve comprometer</w:t>
      </w:r>
      <w:r w:rsidR="001C6069" w:rsidRPr="000F411C">
        <w:rPr>
          <w:szCs w:val="24"/>
        </w:rPr>
        <w:t>-se</w:t>
      </w:r>
      <w:r w:rsidRPr="001C6069">
        <w:rPr>
          <w:color w:val="FF0000"/>
          <w:szCs w:val="24"/>
        </w:rPr>
        <w:t xml:space="preserve"> </w:t>
      </w:r>
      <w:r>
        <w:rPr>
          <w:szCs w:val="24"/>
        </w:rPr>
        <w:t xml:space="preserve">a contribuir com as investigações da CGE e a assinar o memorando de entendimentos </w:t>
      </w:r>
      <w:r w:rsidRPr="00B813A7">
        <w:rPr>
          <w:szCs w:val="24"/>
        </w:rPr>
        <w:t>que norteará as negociações. As minutas da proposta e do memorando de entendimentos constam na página eletrônica da Corregedoria-Geral do Estado</w:t>
      </w:r>
      <w:r w:rsidR="001C6069" w:rsidRPr="00B813A7">
        <w:rPr>
          <w:szCs w:val="24"/>
        </w:rPr>
        <w:t>, órgão integrante da CGE</w:t>
      </w:r>
      <w:r w:rsidRPr="00B813A7">
        <w:rPr>
          <w:szCs w:val="24"/>
        </w:rPr>
        <w:t>.</w:t>
      </w:r>
    </w:p>
    <w:p w14:paraId="1D16EFD3" w14:textId="77777777" w:rsidR="00736335" w:rsidRDefault="00736335" w:rsidP="00736335">
      <w:pPr>
        <w:rPr>
          <w:szCs w:val="24"/>
        </w:rPr>
      </w:pPr>
    </w:p>
    <w:p w14:paraId="13FB25BB" w14:textId="77777777" w:rsidR="00736335" w:rsidRPr="006B69EC" w:rsidRDefault="00B813A7" w:rsidP="00736335">
      <w:pPr>
        <w:ind w:firstLine="708"/>
        <w:rPr>
          <w:szCs w:val="24"/>
        </w:rPr>
      </w:pPr>
      <w:r>
        <w:rPr>
          <w:szCs w:val="24"/>
        </w:rPr>
        <w:t xml:space="preserve">A proposta do </w:t>
      </w:r>
      <w:r w:rsidR="001B21A6">
        <w:rPr>
          <w:szCs w:val="24"/>
        </w:rPr>
        <w:t>Acordo de Leniência</w:t>
      </w:r>
      <w:r w:rsidR="00736335" w:rsidRPr="006B69EC">
        <w:rPr>
          <w:szCs w:val="24"/>
        </w:rPr>
        <w:t xml:space="preserve"> poderá ser feita até a conclusão do relatório a ser elaborado no PAR.</w:t>
      </w:r>
      <w:r w:rsidR="00736335">
        <w:rPr>
          <w:szCs w:val="24"/>
        </w:rPr>
        <w:t xml:space="preserve"> </w:t>
      </w:r>
      <w:r w:rsidR="00736335" w:rsidRPr="006B69EC">
        <w:rPr>
          <w:szCs w:val="24"/>
        </w:rPr>
        <w:t>A</w:t>
      </w:r>
      <w:r w:rsidR="00736335">
        <w:rPr>
          <w:szCs w:val="24"/>
        </w:rPr>
        <w:t xml:space="preserve"> </w:t>
      </w:r>
      <w:r w:rsidR="00736335" w:rsidRPr="006B69EC">
        <w:rPr>
          <w:szCs w:val="24"/>
        </w:rPr>
        <w:t xml:space="preserve">pessoa jurídica que pretenda celebrar </w:t>
      </w:r>
      <w:r w:rsidR="001B21A6">
        <w:rPr>
          <w:szCs w:val="24"/>
        </w:rPr>
        <w:t>Acordo de Leniência</w:t>
      </w:r>
      <w:r w:rsidR="00736335" w:rsidRPr="006B69EC">
        <w:rPr>
          <w:szCs w:val="24"/>
        </w:rPr>
        <w:t xml:space="preserve"> deverá:</w:t>
      </w:r>
    </w:p>
    <w:p w14:paraId="24E333A1" w14:textId="77777777" w:rsidR="00736335" w:rsidRPr="006B69EC" w:rsidRDefault="00736335" w:rsidP="00736335">
      <w:pPr>
        <w:ind w:firstLine="708"/>
        <w:rPr>
          <w:szCs w:val="24"/>
        </w:rPr>
      </w:pPr>
      <w:r w:rsidRPr="006B69EC">
        <w:rPr>
          <w:szCs w:val="24"/>
        </w:rPr>
        <w:t>I – ser a primeira a manifestar interesse em cooperar para a apuração de ato lesivo específico;</w:t>
      </w:r>
    </w:p>
    <w:p w14:paraId="3B405FE9" w14:textId="77777777" w:rsidR="00736335" w:rsidRPr="006B69EC" w:rsidRDefault="00736335" w:rsidP="00736335">
      <w:pPr>
        <w:ind w:firstLine="708"/>
        <w:rPr>
          <w:szCs w:val="24"/>
        </w:rPr>
      </w:pPr>
      <w:r w:rsidRPr="006B69EC">
        <w:rPr>
          <w:szCs w:val="24"/>
        </w:rPr>
        <w:t>II – ter cessado completamente seu envolvimento no ato lesivo a partir da data da propositura do acordo;</w:t>
      </w:r>
    </w:p>
    <w:p w14:paraId="2FAC3EDE" w14:textId="77777777" w:rsidR="00736335" w:rsidRPr="006B69EC" w:rsidRDefault="00736335" w:rsidP="00736335">
      <w:pPr>
        <w:ind w:firstLine="708"/>
        <w:rPr>
          <w:szCs w:val="24"/>
        </w:rPr>
      </w:pPr>
      <w:r w:rsidRPr="006B69EC">
        <w:rPr>
          <w:szCs w:val="24"/>
        </w:rPr>
        <w:t>III – admitir sua participação na infração administrativa;</w:t>
      </w:r>
    </w:p>
    <w:p w14:paraId="7DF4A096" w14:textId="77777777" w:rsidR="00736335" w:rsidRPr="006B69EC" w:rsidRDefault="00736335" w:rsidP="00736335">
      <w:pPr>
        <w:ind w:firstLine="708"/>
        <w:rPr>
          <w:szCs w:val="24"/>
        </w:rPr>
      </w:pPr>
      <w:r w:rsidRPr="006B69EC">
        <w:rPr>
          <w:szCs w:val="24"/>
        </w:rPr>
        <w:t>IV – cooperar plena e permanentemente com as investigações e o processo administrativo e comparecer, sob suas expensas e sempre que solicitada, aos atos processuais até o seu encerramento; e</w:t>
      </w:r>
    </w:p>
    <w:p w14:paraId="2CC1A7CF" w14:textId="77777777" w:rsidR="00736335" w:rsidRPr="006B69EC" w:rsidRDefault="00736335" w:rsidP="00736335">
      <w:pPr>
        <w:ind w:firstLine="708"/>
        <w:rPr>
          <w:szCs w:val="24"/>
        </w:rPr>
      </w:pPr>
      <w:r w:rsidRPr="006B69EC">
        <w:rPr>
          <w:szCs w:val="24"/>
        </w:rPr>
        <w:t>V – fornecer informações, documentos e elementos que comprovem a infração administrativa</w:t>
      </w:r>
      <w:r>
        <w:rPr>
          <w:szCs w:val="24"/>
        </w:rPr>
        <w:t xml:space="preserve"> (art. 37 do Decreto nº 1.106, de 2017)</w:t>
      </w:r>
      <w:r w:rsidRPr="006B69EC">
        <w:rPr>
          <w:szCs w:val="24"/>
        </w:rPr>
        <w:t>.</w:t>
      </w:r>
    </w:p>
    <w:p w14:paraId="1C4F79DB" w14:textId="77777777" w:rsidR="00736335" w:rsidRDefault="00736335" w:rsidP="00736335">
      <w:pPr>
        <w:ind w:firstLine="709"/>
        <w:rPr>
          <w:szCs w:val="24"/>
        </w:rPr>
      </w:pPr>
    </w:p>
    <w:p w14:paraId="30028F3E" w14:textId="77777777" w:rsidR="00736335" w:rsidRDefault="00B813A7" w:rsidP="00736335">
      <w:pPr>
        <w:ind w:firstLine="709"/>
        <w:rPr>
          <w:szCs w:val="24"/>
        </w:rPr>
      </w:pPr>
      <w:r>
        <w:rPr>
          <w:szCs w:val="24"/>
        </w:rPr>
        <w:t xml:space="preserve">A proposta de </w:t>
      </w:r>
      <w:r w:rsidR="001B21A6">
        <w:rPr>
          <w:szCs w:val="24"/>
        </w:rPr>
        <w:t>Acordo de Leniência</w:t>
      </w:r>
      <w:r w:rsidR="00736335">
        <w:rPr>
          <w:szCs w:val="24"/>
        </w:rPr>
        <w:t xml:space="preserve"> deverá ser apresentada pela empresa acusada, com o compromisso de fornecer todas as informações disponíveis e colaborar atendendo todas as determinações e solicitações da comissão durante a etapa de negociação, sob pena de ser rejeitado o acordo. O processo de negociação deve ter caráter sigiloso, somente permitindo acesso aos autos à comissão e aos representantes e procuradores da empresa interessada (art. 39 do Decreto nº 1.106, de 2017).</w:t>
      </w:r>
    </w:p>
    <w:p w14:paraId="6D3DF857" w14:textId="77777777" w:rsidR="00736335" w:rsidRDefault="00736335" w:rsidP="00736335">
      <w:pPr>
        <w:ind w:firstLine="709"/>
        <w:rPr>
          <w:szCs w:val="24"/>
        </w:rPr>
      </w:pPr>
    </w:p>
    <w:p w14:paraId="7D6D11FF" w14:textId="77777777" w:rsidR="00736335" w:rsidRDefault="00736335" w:rsidP="00736335">
      <w:pPr>
        <w:rPr>
          <w:szCs w:val="24"/>
        </w:rPr>
      </w:pPr>
    </w:p>
    <w:p w14:paraId="5C584F28" w14:textId="77777777" w:rsidR="00736335" w:rsidRPr="001C6069" w:rsidRDefault="00081792" w:rsidP="00B813A7">
      <w:pPr>
        <w:rPr>
          <w:b/>
          <w:szCs w:val="24"/>
        </w:rPr>
      </w:pPr>
      <w:r>
        <w:rPr>
          <w:b/>
          <w:szCs w:val="24"/>
        </w:rPr>
        <w:t xml:space="preserve">Da </w:t>
      </w:r>
      <w:r w:rsidR="00736335" w:rsidRPr="001C6069">
        <w:rPr>
          <w:b/>
          <w:szCs w:val="24"/>
        </w:rPr>
        <w:t>Desistência</w:t>
      </w:r>
      <w:r w:rsidR="00B813A7">
        <w:rPr>
          <w:b/>
          <w:szCs w:val="24"/>
        </w:rPr>
        <w:t xml:space="preserve"> da Proposta</w:t>
      </w:r>
    </w:p>
    <w:p w14:paraId="42E1A48C" w14:textId="77777777" w:rsidR="00736335" w:rsidRDefault="00736335" w:rsidP="00736335">
      <w:pPr>
        <w:ind w:firstLine="709"/>
        <w:rPr>
          <w:szCs w:val="24"/>
        </w:rPr>
      </w:pPr>
    </w:p>
    <w:p w14:paraId="657261BA" w14:textId="77777777" w:rsidR="00736335" w:rsidRDefault="00B813A7" w:rsidP="00736335">
      <w:pPr>
        <w:ind w:firstLine="709"/>
        <w:rPr>
          <w:szCs w:val="24"/>
        </w:rPr>
      </w:pPr>
      <w:r>
        <w:rPr>
          <w:szCs w:val="24"/>
        </w:rPr>
        <w:t xml:space="preserve">Antes de ser celebrado o </w:t>
      </w:r>
      <w:r w:rsidR="001B21A6">
        <w:rPr>
          <w:szCs w:val="24"/>
        </w:rPr>
        <w:t>Acordo de Leniência</w:t>
      </w:r>
      <w:r w:rsidR="00736335">
        <w:rPr>
          <w:szCs w:val="24"/>
        </w:rPr>
        <w:t>, a pessoa jurídica poderá desistir da proposta, sem que esta ação constitua em reconhecimento da prática do ato lesivo apurado. Na hipótese da desistência pela</w:t>
      </w:r>
      <w:r>
        <w:rPr>
          <w:szCs w:val="24"/>
        </w:rPr>
        <w:t xml:space="preserve"> empresa</w:t>
      </w:r>
      <w:r w:rsidR="00736335">
        <w:rPr>
          <w:szCs w:val="24"/>
        </w:rPr>
        <w:t xml:space="preserve"> proponente, todos os documentos apresentados devem ser devolvidos sem retenção de cópias, sendo o uso de tais informações vedado, exceto se a administração pública estadual </w:t>
      </w:r>
      <w:r w:rsidR="00736335">
        <w:rPr>
          <w:szCs w:val="24"/>
        </w:rPr>
        <w:lastRenderedPageBreak/>
        <w:t xml:space="preserve">obtiver conhecimento delas por outros meios. Mesmo na hipótese de </w:t>
      </w:r>
      <w:r w:rsidR="000F411C">
        <w:rPr>
          <w:szCs w:val="24"/>
        </w:rPr>
        <w:t>rejeição pela CGE</w:t>
      </w:r>
      <w:r>
        <w:rPr>
          <w:szCs w:val="24"/>
        </w:rPr>
        <w:t>,</w:t>
      </w:r>
      <w:r w:rsidR="00736335">
        <w:rPr>
          <w:szCs w:val="24"/>
        </w:rPr>
        <w:t xml:space="preserve"> todo o conteúdo da proposta será resguardado </w:t>
      </w:r>
      <w:r w:rsidR="00230513" w:rsidRPr="00912C7A">
        <w:rPr>
          <w:szCs w:val="24"/>
        </w:rPr>
        <w:t xml:space="preserve">por </w:t>
      </w:r>
      <w:r w:rsidR="00736335">
        <w:rPr>
          <w:szCs w:val="24"/>
        </w:rPr>
        <w:t>sigilo (arts. 42 e 43 do Decreto nº 1.106, de 2017).</w:t>
      </w:r>
    </w:p>
    <w:p w14:paraId="701C18B9" w14:textId="77777777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 xml:space="preserve">Com a desistência da pessoa jurídica na celebração do </w:t>
      </w:r>
      <w:r w:rsidR="001B21A6">
        <w:rPr>
          <w:szCs w:val="24"/>
        </w:rPr>
        <w:t>Acordo de Leniência</w:t>
      </w:r>
      <w:r>
        <w:rPr>
          <w:szCs w:val="24"/>
        </w:rPr>
        <w:t>, eventuais investigações preliminares ou Processos Administrativos de Responsabilização que estavam suspensos durante a negociação são retomados pela Administração Pública.</w:t>
      </w:r>
    </w:p>
    <w:p w14:paraId="00ED7097" w14:textId="77777777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>Não será dada qualq</w:t>
      </w:r>
      <w:r w:rsidR="001B21A6">
        <w:rPr>
          <w:szCs w:val="24"/>
        </w:rPr>
        <w:t>uer publicidade à proposta de Acordo de Leniência</w:t>
      </w:r>
      <w:r>
        <w:rPr>
          <w:szCs w:val="24"/>
        </w:rPr>
        <w:t xml:space="preserve"> </w:t>
      </w:r>
      <w:r w:rsidRPr="00912C7A">
        <w:rPr>
          <w:szCs w:val="24"/>
        </w:rPr>
        <w:t>apresentad</w:t>
      </w:r>
      <w:r w:rsidR="005254F9" w:rsidRPr="00912C7A">
        <w:rPr>
          <w:szCs w:val="24"/>
        </w:rPr>
        <w:t>a</w:t>
      </w:r>
      <w:r>
        <w:rPr>
          <w:szCs w:val="24"/>
        </w:rPr>
        <w:t xml:space="preserve"> pela pessoa jurídica, nem tampouco aos documentos exibidos, quando houver a desistência na tramitação da negociação, exceto se a própria pessoa jurídica autorizar a divulgação e a CGE anuir com essa publicação (art. 39, § 1º, c/c 43, § 1º, III, ambos do Decreto nº 1.106, de 2017).</w:t>
      </w:r>
    </w:p>
    <w:p w14:paraId="3004FC3E" w14:textId="77777777" w:rsidR="00736335" w:rsidRDefault="00736335" w:rsidP="00736335">
      <w:pPr>
        <w:ind w:firstLine="709"/>
        <w:rPr>
          <w:szCs w:val="24"/>
        </w:rPr>
      </w:pPr>
    </w:p>
    <w:p w14:paraId="4A4D9085" w14:textId="77777777" w:rsidR="00736335" w:rsidRDefault="00736335" w:rsidP="00736335">
      <w:pPr>
        <w:ind w:firstLine="709"/>
        <w:rPr>
          <w:szCs w:val="24"/>
        </w:rPr>
      </w:pPr>
    </w:p>
    <w:p w14:paraId="1CAE13ED" w14:textId="77777777" w:rsidR="00736335" w:rsidRPr="005254F9" w:rsidRDefault="00081792" w:rsidP="00736335">
      <w:pPr>
        <w:rPr>
          <w:b/>
          <w:szCs w:val="24"/>
        </w:rPr>
      </w:pPr>
      <w:r>
        <w:rPr>
          <w:b/>
          <w:szCs w:val="24"/>
        </w:rPr>
        <w:t xml:space="preserve">Do </w:t>
      </w:r>
      <w:r w:rsidR="00736335" w:rsidRPr="005254F9">
        <w:rPr>
          <w:b/>
          <w:szCs w:val="24"/>
        </w:rPr>
        <w:t>Memorando de Entendimentos</w:t>
      </w:r>
    </w:p>
    <w:p w14:paraId="5D3F1F8C" w14:textId="77777777" w:rsidR="00736335" w:rsidRDefault="00736335" w:rsidP="00736335">
      <w:pPr>
        <w:ind w:firstLine="709"/>
        <w:rPr>
          <w:szCs w:val="24"/>
        </w:rPr>
      </w:pPr>
    </w:p>
    <w:p w14:paraId="59AA1D64" w14:textId="77777777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 xml:space="preserve">Ao início do processo de negociação é firmado um memorando de entendimentos entre o órgão central do Sistema Administrativo de Controle Interno e a pessoa jurídica proponente para fins de definir os parâmetros da negociação do </w:t>
      </w:r>
      <w:r w:rsidR="001B21A6">
        <w:rPr>
          <w:szCs w:val="24"/>
        </w:rPr>
        <w:t>Acordo de Leniência</w:t>
      </w:r>
      <w:r>
        <w:rPr>
          <w:szCs w:val="24"/>
        </w:rPr>
        <w:t>. Neste documento, a pessoa jurídica proponente, a CGE e a PGE estabelecem a confidencialidade do processo e dos documentos apresentados, a suspensão de eventuais processos de responsabilização em face da pessoa jurídica, as hipóteses de resilição do próprio memorando, as definições dos representantes e respectivos endereços eletrônicos de cada parte para troca de comunicações, bem como a</w:t>
      </w:r>
      <w:r w:rsidR="005254F9">
        <w:rPr>
          <w:szCs w:val="24"/>
        </w:rPr>
        <w:t xml:space="preserve"> necessidade da</w:t>
      </w:r>
      <w:r>
        <w:rPr>
          <w:szCs w:val="24"/>
        </w:rPr>
        <w:t xml:space="preserve"> colaboração às investigações </w:t>
      </w:r>
      <w:r w:rsidRPr="00912C7A">
        <w:rPr>
          <w:szCs w:val="24"/>
        </w:rPr>
        <w:t>pautar</w:t>
      </w:r>
      <w:r w:rsidR="005254F9" w:rsidRPr="00912C7A">
        <w:rPr>
          <w:szCs w:val="24"/>
        </w:rPr>
        <w:t>-se</w:t>
      </w:r>
      <w:r w:rsidRPr="00912C7A">
        <w:rPr>
          <w:szCs w:val="24"/>
        </w:rPr>
        <w:t xml:space="preserve"> pela </w:t>
      </w:r>
      <w:r>
        <w:rPr>
          <w:szCs w:val="24"/>
        </w:rPr>
        <w:t>boa-fé.</w:t>
      </w:r>
    </w:p>
    <w:p w14:paraId="6E3675DE" w14:textId="77777777" w:rsidR="00736335" w:rsidRDefault="00736335" w:rsidP="00736335">
      <w:pPr>
        <w:ind w:firstLine="709"/>
        <w:rPr>
          <w:szCs w:val="24"/>
        </w:rPr>
      </w:pPr>
    </w:p>
    <w:p w14:paraId="3A54BF1C" w14:textId="77777777" w:rsidR="00736335" w:rsidRDefault="00736335" w:rsidP="00736335">
      <w:pPr>
        <w:ind w:firstLine="709"/>
        <w:rPr>
          <w:szCs w:val="24"/>
        </w:rPr>
      </w:pPr>
    </w:p>
    <w:p w14:paraId="60345994" w14:textId="77777777" w:rsidR="00736335" w:rsidRPr="005254F9" w:rsidRDefault="00081792" w:rsidP="00736335">
      <w:pPr>
        <w:rPr>
          <w:b/>
          <w:szCs w:val="24"/>
        </w:rPr>
      </w:pPr>
      <w:r>
        <w:rPr>
          <w:b/>
          <w:szCs w:val="24"/>
        </w:rPr>
        <w:t xml:space="preserve">Dos </w:t>
      </w:r>
      <w:r w:rsidR="00736335" w:rsidRPr="005254F9">
        <w:rPr>
          <w:b/>
          <w:szCs w:val="24"/>
        </w:rPr>
        <w:t>Prazo</w:t>
      </w:r>
      <w:r w:rsidR="001B21A6">
        <w:rPr>
          <w:b/>
          <w:szCs w:val="24"/>
        </w:rPr>
        <w:t>s de Vigência</w:t>
      </w:r>
    </w:p>
    <w:p w14:paraId="535D7CBF" w14:textId="77777777" w:rsidR="00736335" w:rsidRDefault="00736335" w:rsidP="00736335">
      <w:pPr>
        <w:ind w:firstLine="709"/>
        <w:rPr>
          <w:szCs w:val="24"/>
        </w:rPr>
      </w:pPr>
    </w:p>
    <w:p w14:paraId="4487A080" w14:textId="77777777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>Não</w:t>
      </w:r>
      <w:r w:rsidR="00BE7064">
        <w:rPr>
          <w:szCs w:val="24"/>
        </w:rPr>
        <w:t xml:space="preserve"> </w:t>
      </w:r>
      <w:r>
        <w:rPr>
          <w:szCs w:val="24"/>
        </w:rPr>
        <w:t xml:space="preserve">consta no Decreto nº 1.106, de 2017, prazo para a conclusão das negociações do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. Uma vez celebrado, o próprio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estabelecerá o prazo de sua vigência.</w:t>
      </w:r>
      <w:r w:rsidRPr="003B3EE6">
        <w:rPr>
          <w:szCs w:val="24"/>
        </w:rPr>
        <w:t xml:space="preserve"> </w:t>
      </w:r>
      <w:r>
        <w:rPr>
          <w:szCs w:val="24"/>
        </w:rPr>
        <w:t xml:space="preserve">No âmbito federal, o Decreto Federal nº 8.420, de 18 de março de 2015, artigo 32, fixa prazo de 180 (cento e oitenta) dias, prorrogáveis, para conclusão das negociações do </w:t>
      </w:r>
      <w:r w:rsidR="001B21A6">
        <w:rPr>
          <w:szCs w:val="24"/>
        </w:rPr>
        <w:t>Acordo de Leniência</w:t>
      </w:r>
      <w:r>
        <w:rPr>
          <w:szCs w:val="24"/>
        </w:rPr>
        <w:t>, porém essa regra não é aplicável ao Estado de Santa Catarina</w:t>
      </w:r>
      <w:r w:rsidRPr="003B3EE6">
        <w:rPr>
          <w:szCs w:val="24"/>
        </w:rPr>
        <w:t>.</w:t>
      </w:r>
    </w:p>
    <w:p w14:paraId="222524AB" w14:textId="77777777" w:rsidR="00736335" w:rsidRDefault="00736335" w:rsidP="00736335">
      <w:pPr>
        <w:ind w:firstLine="709"/>
        <w:rPr>
          <w:szCs w:val="24"/>
        </w:rPr>
      </w:pPr>
      <w:r w:rsidRPr="00AD17C0">
        <w:rPr>
          <w:szCs w:val="24"/>
        </w:rPr>
        <w:t>Na</w:t>
      </w:r>
      <w:r w:rsidR="001B21A6">
        <w:rPr>
          <w:szCs w:val="24"/>
        </w:rPr>
        <w:t xml:space="preserve"> hipótese de descumprimento do Acordo de Leniência</w:t>
      </w:r>
      <w:r w:rsidRPr="00AD17C0">
        <w:rPr>
          <w:szCs w:val="24"/>
        </w:rPr>
        <w:t>, a pessoa jurídica ficará impedida de celebrar novo acordo nos próximos 03 (três) anos.</w:t>
      </w:r>
    </w:p>
    <w:p w14:paraId="05FC899E" w14:textId="77777777" w:rsidR="00736335" w:rsidRPr="00AD17C0" w:rsidRDefault="001B21A6" w:rsidP="00736335">
      <w:pPr>
        <w:ind w:firstLine="709"/>
        <w:rPr>
          <w:szCs w:val="24"/>
        </w:rPr>
      </w:pPr>
      <w:r>
        <w:rPr>
          <w:szCs w:val="24"/>
        </w:rPr>
        <w:t>A celebração do Acordo de Leniência</w:t>
      </w:r>
      <w:r w:rsidR="00736335" w:rsidRPr="00C44D83">
        <w:rPr>
          <w:szCs w:val="24"/>
        </w:rPr>
        <w:t xml:space="preserve"> interrompe o prazo prescricional dos atos ilícitos previstos</w:t>
      </w:r>
      <w:r w:rsidR="00736335">
        <w:rPr>
          <w:szCs w:val="24"/>
        </w:rPr>
        <w:t xml:space="preserve"> na Lei Anticorrupção (art. 16, §9º, da Lei nº 12.846, de 2013).</w:t>
      </w:r>
    </w:p>
    <w:p w14:paraId="44382F8A" w14:textId="77777777" w:rsidR="00736335" w:rsidRDefault="00736335" w:rsidP="00736335">
      <w:pPr>
        <w:ind w:firstLine="709"/>
        <w:rPr>
          <w:szCs w:val="24"/>
        </w:rPr>
      </w:pPr>
    </w:p>
    <w:p w14:paraId="3A84A35D" w14:textId="77777777" w:rsidR="00736335" w:rsidRDefault="00736335" w:rsidP="00736335">
      <w:pPr>
        <w:ind w:firstLine="709"/>
        <w:rPr>
          <w:szCs w:val="24"/>
        </w:rPr>
      </w:pPr>
    </w:p>
    <w:p w14:paraId="0D7C05A6" w14:textId="77777777" w:rsidR="00736335" w:rsidRPr="00BE7064" w:rsidRDefault="00081792" w:rsidP="00736335">
      <w:pPr>
        <w:rPr>
          <w:b/>
          <w:szCs w:val="24"/>
        </w:rPr>
      </w:pPr>
      <w:r>
        <w:rPr>
          <w:b/>
          <w:szCs w:val="24"/>
        </w:rPr>
        <w:t xml:space="preserve">Da </w:t>
      </w:r>
      <w:r w:rsidR="001B21A6">
        <w:rPr>
          <w:b/>
          <w:szCs w:val="24"/>
        </w:rPr>
        <w:t xml:space="preserve">Composição da </w:t>
      </w:r>
      <w:r w:rsidR="00BE7064">
        <w:rPr>
          <w:b/>
          <w:szCs w:val="24"/>
        </w:rPr>
        <w:t>Comissão</w:t>
      </w:r>
    </w:p>
    <w:p w14:paraId="69F16321" w14:textId="77777777" w:rsidR="00736335" w:rsidRDefault="00736335" w:rsidP="00736335">
      <w:pPr>
        <w:ind w:firstLine="708"/>
        <w:rPr>
          <w:szCs w:val="24"/>
        </w:rPr>
      </w:pPr>
    </w:p>
    <w:p w14:paraId="6C74E12C" w14:textId="77777777" w:rsidR="00736335" w:rsidRPr="001B21A6" w:rsidRDefault="00736335" w:rsidP="00736335">
      <w:pPr>
        <w:ind w:firstLine="708"/>
        <w:rPr>
          <w:szCs w:val="24"/>
        </w:rPr>
      </w:pPr>
      <w:r w:rsidRPr="001B21A6">
        <w:rPr>
          <w:szCs w:val="24"/>
        </w:rPr>
        <w:t xml:space="preserve">Apresentada pela empresa a proposta de </w:t>
      </w:r>
      <w:r w:rsidR="001B21A6" w:rsidRPr="001B21A6">
        <w:rPr>
          <w:szCs w:val="24"/>
        </w:rPr>
        <w:t>Acordo de Leniência</w:t>
      </w:r>
      <w:r w:rsidRPr="001B21A6">
        <w:rPr>
          <w:szCs w:val="24"/>
        </w:rPr>
        <w:t>, a CGE designará uma comissão responsável pela condução da negociação do acordo, composta por no mínimo 3 (três) servidores públicos efetivos, sob a presidência de um Auditor Interno do Poder Executivo. A CGE verificará com a PGE a eventual existência de interesse da participação de Procuradores do Estado na composição da comissão.</w:t>
      </w:r>
    </w:p>
    <w:p w14:paraId="5AEF3C4F" w14:textId="77777777" w:rsidR="00736335" w:rsidRDefault="00736335" w:rsidP="00736335">
      <w:pPr>
        <w:ind w:firstLine="708"/>
        <w:rPr>
          <w:szCs w:val="24"/>
        </w:rPr>
      </w:pPr>
      <w:r w:rsidRPr="001B21A6">
        <w:rPr>
          <w:szCs w:val="24"/>
        </w:rPr>
        <w:t xml:space="preserve">A comissão irá orientar a pessoa jurídica proponente a respeito de seus direitos, garantias e deveres legais, bem como propor, caso ainda não tenha sido assinado, a celebração do memorando de entendimentos que norteará a negociação do </w:t>
      </w:r>
      <w:r w:rsidR="001B21A6" w:rsidRPr="001B21A6">
        <w:rPr>
          <w:szCs w:val="24"/>
        </w:rPr>
        <w:t>Acordo de Leniência</w:t>
      </w:r>
      <w:r w:rsidRPr="001B21A6">
        <w:rPr>
          <w:szCs w:val="24"/>
        </w:rPr>
        <w:t>.</w:t>
      </w:r>
      <w:r>
        <w:rPr>
          <w:szCs w:val="24"/>
        </w:rPr>
        <w:t xml:space="preserve"> </w:t>
      </w:r>
    </w:p>
    <w:p w14:paraId="26E98F1F" w14:textId="77777777" w:rsidR="00736335" w:rsidRDefault="00736335" w:rsidP="00736335">
      <w:pPr>
        <w:ind w:firstLine="708"/>
        <w:rPr>
          <w:szCs w:val="24"/>
        </w:rPr>
      </w:pPr>
      <w:r>
        <w:rPr>
          <w:szCs w:val="24"/>
        </w:rPr>
        <w:t xml:space="preserve">Nesta fase preliminar, a comissão deverá avaliar se a pessoa jurídica proponente foi a primeira a manifestar interesse em cooperar para a apuração de ato lesivo específico, bem como se os elementos trazidos pela mesma contêm a admissão de sua participação na infração administrativa e se indicam ter cessado completamente seu envolvimento no ato lesivo a partir da propositura do acordo. A </w:t>
      </w:r>
      <w:r>
        <w:rPr>
          <w:szCs w:val="24"/>
        </w:rPr>
        <w:lastRenderedPageBreak/>
        <w:t xml:space="preserve">comissão também irá avaliar, tanto na fase inicial quanto no decorrer de toda negociação, se a pessoa jurídica proponente coopera </w:t>
      </w:r>
      <w:r w:rsidRPr="00800A81">
        <w:rPr>
          <w:szCs w:val="24"/>
        </w:rPr>
        <w:t>plena e permanentemente com as investigações e o processo administrativo e comparece, sob suas expensas e sempre que s</w:t>
      </w:r>
      <w:r>
        <w:rPr>
          <w:szCs w:val="24"/>
        </w:rPr>
        <w:t xml:space="preserve">olicitada, aos atos processuais, além de efetivamente </w:t>
      </w:r>
      <w:r w:rsidRPr="00800A81">
        <w:rPr>
          <w:szCs w:val="24"/>
        </w:rPr>
        <w:t>fornecer informações, documentos e elementos que comprov</w:t>
      </w:r>
      <w:r>
        <w:rPr>
          <w:szCs w:val="24"/>
        </w:rPr>
        <w:t>a</w:t>
      </w:r>
      <w:r w:rsidRPr="00800A81">
        <w:rPr>
          <w:szCs w:val="24"/>
        </w:rPr>
        <w:t>m a infração administrativa.</w:t>
      </w:r>
      <w:r>
        <w:rPr>
          <w:szCs w:val="24"/>
        </w:rPr>
        <w:t xml:space="preserve"> </w:t>
      </w:r>
    </w:p>
    <w:p w14:paraId="69246BBB" w14:textId="77777777" w:rsidR="00736335" w:rsidRDefault="00736335" w:rsidP="00736335">
      <w:pPr>
        <w:ind w:firstLine="708"/>
        <w:rPr>
          <w:szCs w:val="24"/>
        </w:rPr>
      </w:pPr>
      <w:r>
        <w:rPr>
          <w:szCs w:val="24"/>
        </w:rPr>
        <w:t xml:space="preserve">Se a pessoa jurídica proponente possuir programa de integridade, a comissão irá avaliá-lo. Como se verá no tópico próprio, a existência e o correto funcionamento do programa de integridade </w:t>
      </w:r>
      <w:r w:rsidRPr="00B5623F">
        <w:rPr>
          <w:szCs w:val="24"/>
        </w:rPr>
        <w:t>configura</w:t>
      </w:r>
      <w:r>
        <w:rPr>
          <w:szCs w:val="24"/>
        </w:rPr>
        <w:t>m</w:t>
      </w:r>
      <w:r w:rsidRPr="00B5623F">
        <w:rPr>
          <w:szCs w:val="24"/>
        </w:rPr>
        <w:t xml:space="preserve"> causa especial de diminuição da multa e se sobrep</w:t>
      </w:r>
      <w:r>
        <w:rPr>
          <w:szCs w:val="24"/>
        </w:rPr>
        <w:t>õem</w:t>
      </w:r>
      <w:r w:rsidRPr="00B5623F">
        <w:rPr>
          <w:szCs w:val="24"/>
        </w:rPr>
        <w:t xml:space="preserve"> a qualquer outra circunstância atenuante no respectivo cálculo</w:t>
      </w:r>
      <w:r>
        <w:rPr>
          <w:szCs w:val="24"/>
        </w:rPr>
        <w:t xml:space="preserve">. </w:t>
      </w:r>
    </w:p>
    <w:p w14:paraId="3545CC1C" w14:textId="77777777" w:rsidR="00736335" w:rsidRPr="00C33717" w:rsidRDefault="00736335" w:rsidP="00736335">
      <w:pPr>
        <w:ind w:firstLine="708"/>
        <w:rPr>
          <w:szCs w:val="24"/>
        </w:rPr>
      </w:pPr>
      <w:r w:rsidRPr="00C33717">
        <w:rPr>
          <w:szCs w:val="24"/>
        </w:rPr>
        <w:t xml:space="preserve">Compete </w:t>
      </w:r>
      <w:r>
        <w:rPr>
          <w:szCs w:val="24"/>
        </w:rPr>
        <w:t xml:space="preserve">ainda </w:t>
      </w:r>
      <w:r w:rsidRPr="00C33717">
        <w:rPr>
          <w:szCs w:val="24"/>
        </w:rPr>
        <w:t xml:space="preserve">à comissão responsável pela condução da negociação do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</w:t>
      </w:r>
      <w:r w:rsidRPr="00C33717">
        <w:rPr>
          <w:szCs w:val="24"/>
        </w:rPr>
        <w:t xml:space="preserve">propor cláusulas e obrigações para o </w:t>
      </w:r>
      <w:r w:rsidR="001B21A6">
        <w:rPr>
          <w:szCs w:val="24"/>
        </w:rPr>
        <w:t>Acordo de Leniência</w:t>
      </w:r>
      <w:r w:rsidRPr="00C33717">
        <w:rPr>
          <w:szCs w:val="24"/>
        </w:rPr>
        <w:t xml:space="preserve"> que, diante das circunstâncias do caso concreto, façam-se necessárias para assegurar</w:t>
      </w:r>
      <w:r>
        <w:rPr>
          <w:szCs w:val="24"/>
        </w:rPr>
        <w:t xml:space="preserve"> </w:t>
      </w:r>
      <w:r w:rsidRPr="00C33717">
        <w:rPr>
          <w:szCs w:val="24"/>
        </w:rPr>
        <w:t>a efetividade da colaboração e o resultado útil do processo</w:t>
      </w:r>
      <w:r>
        <w:rPr>
          <w:szCs w:val="24"/>
        </w:rPr>
        <w:t>,</w:t>
      </w:r>
      <w:r w:rsidRPr="00C33717">
        <w:rPr>
          <w:szCs w:val="24"/>
        </w:rPr>
        <w:t xml:space="preserve"> o comprometimento da pessoa jurídica em promover alterações em sua governança que mitiguem o risco de o</w:t>
      </w:r>
      <w:r>
        <w:rPr>
          <w:szCs w:val="24"/>
        </w:rPr>
        <w:t>corrência de novos atos lesivos, bem como a</w:t>
      </w:r>
      <w:r w:rsidRPr="00C33717">
        <w:rPr>
          <w:szCs w:val="24"/>
        </w:rPr>
        <w:t xml:space="preserve"> obrigação da pessoa jurídica em adotar, aplicar ou aperfeiçoar programa de integridade</w:t>
      </w:r>
      <w:r>
        <w:rPr>
          <w:szCs w:val="24"/>
        </w:rPr>
        <w:t>.</w:t>
      </w:r>
    </w:p>
    <w:p w14:paraId="51B42C95" w14:textId="3A0899EC" w:rsidR="00736335" w:rsidRDefault="00736335" w:rsidP="00736335">
      <w:pPr>
        <w:ind w:firstLine="708"/>
        <w:rPr>
          <w:szCs w:val="24"/>
        </w:rPr>
      </w:pPr>
    </w:p>
    <w:p w14:paraId="7705C9DF" w14:textId="77777777" w:rsidR="006277EB" w:rsidRDefault="006277EB" w:rsidP="00736335">
      <w:pPr>
        <w:ind w:firstLine="708"/>
        <w:rPr>
          <w:szCs w:val="24"/>
        </w:rPr>
      </w:pPr>
    </w:p>
    <w:p w14:paraId="081F24E0" w14:textId="77777777" w:rsidR="00736335" w:rsidRPr="00407E42" w:rsidRDefault="00736335" w:rsidP="00407E42">
      <w:pPr>
        <w:rPr>
          <w:b/>
          <w:szCs w:val="24"/>
        </w:rPr>
      </w:pPr>
      <w:r w:rsidRPr="00407E42">
        <w:rPr>
          <w:b/>
          <w:szCs w:val="24"/>
        </w:rPr>
        <w:t>Da Multa</w:t>
      </w:r>
    </w:p>
    <w:p w14:paraId="2DD66990" w14:textId="77777777" w:rsidR="00736335" w:rsidRDefault="00736335" w:rsidP="00736335">
      <w:pPr>
        <w:ind w:firstLine="708"/>
        <w:rPr>
          <w:szCs w:val="24"/>
        </w:rPr>
      </w:pPr>
    </w:p>
    <w:p w14:paraId="159C7808" w14:textId="77777777" w:rsidR="00736335" w:rsidRDefault="00736335" w:rsidP="00736335">
      <w:pPr>
        <w:ind w:firstLine="708"/>
        <w:rPr>
          <w:szCs w:val="24"/>
        </w:rPr>
      </w:pPr>
      <w:r>
        <w:rPr>
          <w:szCs w:val="24"/>
        </w:rPr>
        <w:t xml:space="preserve">A celebração do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permite uma redução da multa em até 2/3 (dois terços) para empresas que demonstrem colaborar com as investigações e possuam programa de integridade ativo e adequado. Portanto, a comissão deverá calcular o valor da multa que seria aplicada no âmbito do PAR, para em seguida aplicar o redutor conforme a atuação da pessoa jurídica no decorrer da negociação do </w:t>
      </w:r>
      <w:r w:rsidR="001B21A6">
        <w:rPr>
          <w:szCs w:val="24"/>
        </w:rPr>
        <w:t>Acordo de Leniência</w:t>
      </w:r>
      <w:r>
        <w:rPr>
          <w:szCs w:val="24"/>
        </w:rPr>
        <w:t>.</w:t>
      </w:r>
    </w:p>
    <w:p w14:paraId="2EB57FA8" w14:textId="77777777" w:rsidR="00736335" w:rsidRDefault="00736335" w:rsidP="00736335">
      <w:pPr>
        <w:ind w:firstLine="708"/>
        <w:rPr>
          <w:szCs w:val="24"/>
        </w:rPr>
      </w:pPr>
      <w:r>
        <w:rPr>
          <w:szCs w:val="24"/>
        </w:rPr>
        <w:t xml:space="preserve">Sempre que possível, a multa será calculada como um percentual do faturamento </w:t>
      </w:r>
      <w:r w:rsidRPr="00C90258">
        <w:rPr>
          <w:szCs w:val="24"/>
        </w:rPr>
        <w:t>bruto</w:t>
      </w:r>
      <w:r w:rsidR="00081792">
        <w:rPr>
          <w:szCs w:val="24"/>
        </w:rPr>
        <w:t xml:space="preserve"> anual</w:t>
      </w:r>
      <w:r w:rsidRPr="00C90258">
        <w:rPr>
          <w:szCs w:val="24"/>
        </w:rPr>
        <w:t xml:space="preserve"> da pessoa jurídica do último exercício anterior ao da instauração do PAR,</w:t>
      </w:r>
    </w:p>
    <w:p w14:paraId="03EF2514" w14:textId="77777777" w:rsidR="00736335" w:rsidRPr="00081792" w:rsidRDefault="00736335" w:rsidP="00736335">
      <w:pPr>
        <w:ind w:firstLine="708"/>
        <w:rPr>
          <w:szCs w:val="24"/>
        </w:rPr>
      </w:pPr>
      <w:r w:rsidRPr="00081792">
        <w:rPr>
          <w:szCs w:val="24"/>
        </w:rPr>
        <w:t xml:space="preserve"> Para o cálculo da multa, o Decreto nº 1.106, de 2017, estabelece os percentuais para a fixação do valor, para os atenuantes, assim como o piso e o teto da sanção pecuniária. A aplicação da multa em seu valor mínimo é condicionada ao pleno atendimento dos requisitos de existência e devido funcionamento do programa de integridade da pessoa jurídica.</w:t>
      </w:r>
    </w:p>
    <w:p w14:paraId="086E29F7" w14:textId="77777777" w:rsidR="00407E42" w:rsidRPr="0067626A" w:rsidRDefault="00407E42" w:rsidP="00407E42">
      <w:pPr>
        <w:rPr>
          <w:szCs w:val="24"/>
        </w:rPr>
      </w:pPr>
    </w:p>
    <w:p w14:paraId="054C96F7" w14:textId="77777777" w:rsidR="00407E42" w:rsidRPr="0067626A" w:rsidRDefault="00407E42" w:rsidP="00407E42">
      <w:pPr>
        <w:rPr>
          <w:szCs w:val="24"/>
        </w:rPr>
      </w:pPr>
    </w:p>
    <w:p w14:paraId="664837FA" w14:textId="77777777" w:rsidR="00081792" w:rsidRPr="0067626A" w:rsidRDefault="00081792" w:rsidP="00407E42">
      <w:pPr>
        <w:rPr>
          <w:szCs w:val="24"/>
        </w:rPr>
      </w:pPr>
    </w:p>
    <w:p w14:paraId="7B985F23" w14:textId="77777777" w:rsidR="00736335" w:rsidRPr="0067626A" w:rsidRDefault="00081792" w:rsidP="00407E42">
      <w:pPr>
        <w:rPr>
          <w:b/>
          <w:szCs w:val="24"/>
        </w:rPr>
      </w:pPr>
      <w:r w:rsidRPr="0067626A">
        <w:rPr>
          <w:b/>
          <w:szCs w:val="24"/>
        </w:rPr>
        <w:t xml:space="preserve">Do </w:t>
      </w:r>
      <w:r w:rsidR="00736335" w:rsidRPr="0067626A">
        <w:rPr>
          <w:b/>
          <w:szCs w:val="24"/>
        </w:rPr>
        <w:t>Relatório</w:t>
      </w:r>
    </w:p>
    <w:p w14:paraId="1F86C272" w14:textId="77777777" w:rsidR="00736335" w:rsidRPr="00743EBD" w:rsidRDefault="00736335" w:rsidP="00736335">
      <w:pPr>
        <w:ind w:firstLine="708"/>
        <w:rPr>
          <w:szCs w:val="24"/>
        </w:rPr>
      </w:pPr>
    </w:p>
    <w:p w14:paraId="0FDE454A" w14:textId="77777777" w:rsidR="00736335" w:rsidRPr="00743EBD" w:rsidRDefault="00736335" w:rsidP="00736335">
      <w:pPr>
        <w:ind w:firstLine="708"/>
        <w:rPr>
          <w:szCs w:val="24"/>
        </w:rPr>
      </w:pPr>
    </w:p>
    <w:p w14:paraId="5D14F25C" w14:textId="77777777" w:rsidR="00736335" w:rsidRPr="00743EBD" w:rsidRDefault="00736335" w:rsidP="00736335">
      <w:pPr>
        <w:ind w:firstLine="708"/>
        <w:rPr>
          <w:szCs w:val="24"/>
        </w:rPr>
      </w:pPr>
      <w:r w:rsidRPr="00743EBD">
        <w:rPr>
          <w:szCs w:val="24"/>
        </w:rPr>
        <w:t xml:space="preserve">Ao final das tratativas, a comissão irá submeter ao Controlador-Geral do Estado relatório conclusivo acerca das negociações, sugerindo, de forma motivada, quando for o caso, a aplicação dos benefícios à pessoa jurídica pela celebração do </w:t>
      </w:r>
      <w:r w:rsidR="001B21A6" w:rsidRPr="00743EBD">
        <w:rPr>
          <w:szCs w:val="24"/>
        </w:rPr>
        <w:t>Acordo de Leniência</w:t>
      </w:r>
      <w:r w:rsidRPr="00743EBD">
        <w:rPr>
          <w:szCs w:val="24"/>
        </w:rPr>
        <w:t>.</w:t>
      </w:r>
    </w:p>
    <w:p w14:paraId="07A2A265" w14:textId="77777777" w:rsidR="00736335" w:rsidRDefault="00736335" w:rsidP="00736335">
      <w:pPr>
        <w:ind w:firstLine="708"/>
        <w:rPr>
          <w:szCs w:val="24"/>
        </w:rPr>
      </w:pPr>
      <w:r w:rsidRPr="00743EBD">
        <w:rPr>
          <w:szCs w:val="24"/>
        </w:rPr>
        <w:t xml:space="preserve">Uma vez consideradas relevantes as informações e as provas apresentadas pela pessoa jurídica proponente, bem como sendo razoável a definição da multa e dos benefícios a ela estendidos, o </w:t>
      </w:r>
      <w:r w:rsidR="001B21A6" w:rsidRPr="00743EBD">
        <w:rPr>
          <w:szCs w:val="24"/>
        </w:rPr>
        <w:t>Acordo de Leniência</w:t>
      </w:r>
      <w:r w:rsidRPr="00743EBD">
        <w:rPr>
          <w:szCs w:val="24"/>
        </w:rPr>
        <w:t xml:space="preserve"> será celebrado.</w:t>
      </w:r>
      <w:r>
        <w:rPr>
          <w:szCs w:val="24"/>
        </w:rPr>
        <w:t xml:space="preserve"> </w:t>
      </w:r>
    </w:p>
    <w:p w14:paraId="053CB08C" w14:textId="77777777" w:rsidR="00736335" w:rsidRDefault="00736335" w:rsidP="00736335">
      <w:pPr>
        <w:ind w:firstLine="708"/>
        <w:rPr>
          <w:szCs w:val="24"/>
        </w:rPr>
      </w:pPr>
    </w:p>
    <w:p w14:paraId="044D92A6" w14:textId="77777777" w:rsidR="00736335" w:rsidRPr="00407E42" w:rsidRDefault="00736335" w:rsidP="00736335">
      <w:pPr>
        <w:rPr>
          <w:b/>
          <w:szCs w:val="24"/>
        </w:rPr>
      </w:pPr>
      <w:r w:rsidRPr="00407E42">
        <w:rPr>
          <w:b/>
          <w:szCs w:val="24"/>
        </w:rPr>
        <w:t>Das Cláusulas Obrigatórias</w:t>
      </w:r>
    </w:p>
    <w:p w14:paraId="2EFFAF17" w14:textId="77777777" w:rsidR="00736335" w:rsidRDefault="00736335" w:rsidP="00736335">
      <w:pPr>
        <w:ind w:firstLine="708"/>
        <w:rPr>
          <w:szCs w:val="24"/>
        </w:rPr>
      </w:pPr>
    </w:p>
    <w:p w14:paraId="21ECD575" w14:textId="77777777" w:rsidR="00736335" w:rsidRDefault="00736335" w:rsidP="00736335">
      <w:pPr>
        <w:ind w:firstLine="708"/>
        <w:rPr>
          <w:szCs w:val="24"/>
        </w:rPr>
      </w:pPr>
      <w:r>
        <w:rPr>
          <w:szCs w:val="24"/>
        </w:rPr>
        <w:t xml:space="preserve">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conterá </w:t>
      </w:r>
      <w:r w:rsidRPr="00594935">
        <w:rPr>
          <w:szCs w:val="24"/>
        </w:rPr>
        <w:t>a iden</w:t>
      </w:r>
      <w:r>
        <w:rPr>
          <w:szCs w:val="24"/>
        </w:rPr>
        <w:t xml:space="preserve">tificação da pessoa jurídica e de seus representantes legais, considerando, em caso de grupo econômico, todas as empresas que serão atingidas pelo acordo. Constará do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a confissão da pessoa jurídica da sua participação em atos lesivos capitulados pela Lei Anticorrupção e seu compromisso em cooperar plenamente com as investigações decorrentes de sua celebração. Os atos lesivos praticados e os agentes com suas condutas </w:t>
      </w:r>
      <w:r>
        <w:rPr>
          <w:szCs w:val="24"/>
        </w:rPr>
        <w:lastRenderedPageBreak/>
        <w:t xml:space="preserve">individualizadas serão listados e descritos em um documento anexo ao instrumento de acordo. Também comporão anexo do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os principais documentos e provas fornecidas pela pessoa jurídica signatária, bem como o prazo para sua disponibilização caso não tenham sido ainda apresentados. </w:t>
      </w:r>
    </w:p>
    <w:p w14:paraId="15C5A3A7" w14:textId="77777777" w:rsidR="00736335" w:rsidRDefault="00736335" w:rsidP="00736335">
      <w:pPr>
        <w:ind w:firstLine="708"/>
        <w:rPr>
          <w:szCs w:val="24"/>
        </w:rPr>
      </w:pPr>
      <w:r>
        <w:rPr>
          <w:szCs w:val="24"/>
        </w:rPr>
        <w:t xml:space="preserve">Serão ainda cláusulas obrigatórias do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o valor da multa e forma de pagamento, os benefícios concedidos à pessoa jurídica pela sua cooperação e a natureza jurídica de título executivo extrajudicial. A adoção, aplicação ou aperfeiçoamento do programa de integridade pela pessoa jurídica também serão definidos no termo de acordo, assim como a forma de acompanhamento, pela CGE, do cumprimento das obrigações assumidas pela pessoa jurídica. </w:t>
      </w:r>
    </w:p>
    <w:p w14:paraId="5A23EF58" w14:textId="77777777" w:rsidR="00736335" w:rsidRPr="00594935" w:rsidRDefault="00736335" w:rsidP="00736335">
      <w:pPr>
        <w:ind w:firstLine="708"/>
        <w:rPr>
          <w:szCs w:val="24"/>
        </w:rPr>
      </w:pPr>
      <w:r>
        <w:rPr>
          <w:szCs w:val="24"/>
        </w:rPr>
        <w:t xml:space="preserve">Por fim, 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 arrolará as consequências pelo seu eventual descumprimento. </w:t>
      </w:r>
    </w:p>
    <w:p w14:paraId="2FA1ED38" w14:textId="77777777" w:rsidR="00736335" w:rsidRDefault="00736335" w:rsidP="00736335">
      <w:pPr>
        <w:ind w:firstLine="708"/>
        <w:rPr>
          <w:szCs w:val="24"/>
        </w:rPr>
      </w:pPr>
    </w:p>
    <w:p w14:paraId="7216468C" w14:textId="77777777" w:rsidR="00736335" w:rsidRDefault="00736335" w:rsidP="00736335">
      <w:pPr>
        <w:ind w:firstLine="708"/>
        <w:rPr>
          <w:szCs w:val="24"/>
        </w:rPr>
      </w:pPr>
    </w:p>
    <w:p w14:paraId="5B9D5474" w14:textId="77777777" w:rsidR="00736335" w:rsidRDefault="00736335" w:rsidP="00736335">
      <w:pPr>
        <w:rPr>
          <w:szCs w:val="24"/>
        </w:rPr>
      </w:pPr>
    </w:p>
    <w:p w14:paraId="3DBDE00D" w14:textId="77777777" w:rsidR="00736335" w:rsidRPr="00743EBD" w:rsidRDefault="00736335" w:rsidP="00736335">
      <w:pPr>
        <w:rPr>
          <w:b/>
          <w:szCs w:val="24"/>
        </w:rPr>
      </w:pPr>
      <w:r w:rsidRPr="00743EBD">
        <w:rPr>
          <w:b/>
          <w:szCs w:val="24"/>
        </w:rPr>
        <w:t>Do Programa de Integridade</w:t>
      </w:r>
    </w:p>
    <w:p w14:paraId="38491A81" w14:textId="77777777" w:rsidR="00736335" w:rsidRPr="00743EBD" w:rsidRDefault="00736335" w:rsidP="00736335">
      <w:pPr>
        <w:rPr>
          <w:szCs w:val="24"/>
        </w:rPr>
      </w:pPr>
    </w:p>
    <w:p w14:paraId="678AA126" w14:textId="77777777" w:rsidR="00736335" w:rsidRDefault="00736335" w:rsidP="00736335">
      <w:pPr>
        <w:ind w:firstLine="709"/>
        <w:rPr>
          <w:szCs w:val="24"/>
        </w:rPr>
      </w:pPr>
      <w:r w:rsidRPr="00743EBD">
        <w:rPr>
          <w:szCs w:val="24"/>
        </w:rPr>
        <w:t xml:space="preserve">Um fator de extrema relevância no campo da prevenção e do combate à corrupção consiste na implantação pelas pessoas jurídicas que se relacionam com o Poder Público de programas de integridade efetivos e atuantes. O </w:t>
      </w:r>
      <w:r w:rsidRPr="00743EBD">
        <w:rPr>
          <w:b/>
          <w:szCs w:val="24"/>
        </w:rPr>
        <w:t>programa de integridade</w:t>
      </w:r>
      <w:r w:rsidRPr="00743EBD">
        <w:rPr>
          <w:szCs w:val="24"/>
        </w:rPr>
        <w:t xml:space="preserve">, ou programa de </w:t>
      </w:r>
      <w:r w:rsidRPr="00743EBD">
        <w:rPr>
          <w:i/>
          <w:szCs w:val="24"/>
        </w:rPr>
        <w:t>compliance</w:t>
      </w:r>
      <w:r w:rsidRPr="00743EBD">
        <w:rPr>
          <w:szCs w:val="24"/>
        </w:rPr>
        <w:t>, consiste em um conjunto de mecanismos e procedimentos internos de integridade, auditoria e incentivo à denúncia de irregularidades</w:t>
      </w:r>
      <w:r w:rsidR="00743EBD">
        <w:rPr>
          <w:szCs w:val="24"/>
        </w:rPr>
        <w:t xml:space="preserve">, bem como </w:t>
      </w:r>
      <w:r w:rsidRPr="00743EBD">
        <w:rPr>
          <w:szCs w:val="24"/>
        </w:rPr>
        <w:t>na aplicação de códigos de ética e conduta, políticas e diretrizes com objetivo de detectar e sanar internamente desvios, fraudes, irregularidades e atos ilícitos praticados contra a administração pública.</w:t>
      </w:r>
    </w:p>
    <w:p w14:paraId="4C552A49" w14:textId="77777777" w:rsidR="00736335" w:rsidRDefault="00736335" w:rsidP="00736335">
      <w:pPr>
        <w:ind w:firstLine="709"/>
        <w:rPr>
          <w:szCs w:val="24"/>
        </w:rPr>
      </w:pPr>
    </w:p>
    <w:p w14:paraId="7A44198B" w14:textId="27042BB3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 xml:space="preserve">A existência de programa de integridade na pessoa jurídica processada acarretará na atenuação da multa a ser aplicada no PAR, ou, em sede de </w:t>
      </w:r>
      <w:r w:rsidR="001B21A6">
        <w:rPr>
          <w:szCs w:val="24"/>
        </w:rPr>
        <w:t>Acordo de Leniência</w:t>
      </w:r>
      <w:r>
        <w:rPr>
          <w:szCs w:val="24"/>
        </w:rPr>
        <w:t xml:space="preserve">, constará como cláusula obrigatória cuja aplicação integrará os requisitos para verificação do cumprimento das obrigações assumidas. </w:t>
      </w:r>
      <w:r w:rsidR="001A5634">
        <w:rPr>
          <w:szCs w:val="24"/>
        </w:rPr>
        <w:t>Portanto</w:t>
      </w:r>
      <w:r w:rsidR="006277EB" w:rsidRPr="001A5634">
        <w:rPr>
          <w:szCs w:val="24"/>
        </w:rPr>
        <w:t xml:space="preserve">, </w:t>
      </w:r>
      <w:r w:rsidR="001A5634" w:rsidRPr="001A5634">
        <w:rPr>
          <w:szCs w:val="24"/>
        </w:rPr>
        <w:t>caso</w:t>
      </w:r>
      <w:r w:rsidR="006277EB" w:rsidRPr="001A5634">
        <w:rPr>
          <w:szCs w:val="24"/>
        </w:rPr>
        <w:t xml:space="preserve"> a empresa não poss</w:t>
      </w:r>
      <w:r w:rsidR="001A5634" w:rsidRPr="001A5634">
        <w:rPr>
          <w:szCs w:val="24"/>
        </w:rPr>
        <w:t>u</w:t>
      </w:r>
      <w:r w:rsidR="006277EB" w:rsidRPr="001A5634">
        <w:rPr>
          <w:szCs w:val="24"/>
        </w:rPr>
        <w:t>a um programa de integridade antes de propor a celebração do ac</w:t>
      </w:r>
      <w:r w:rsidR="001A5634" w:rsidRPr="001A5634">
        <w:rPr>
          <w:szCs w:val="24"/>
        </w:rPr>
        <w:t>ordo de leniência, será obrigada</w:t>
      </w:r>
      <w:r w:rsidR="006277EB" w:rsidRPr="001A5634">
        <w:rPr>
          <w:szCs w:val="24"/>
        </w:rPr>
        <w:t xml:space="preserve"> a instituí-lo e o colocá-lo em</w:t>
      </w:r>
      <w:r w:rsidR="001A5634" w:rsidRPr="001A5634">
        <w:rPr>
          <w:szCs w:val="24"/>
        </w:rPr>
        <w:t xml:space="preserve"> pleno</w:t>
      </w:r>
      <w:r w:rsidR="006277EB" w:rsidRPr="001A5634">
        <w:rPr>
          <w:szCs w:val="24"/>
        </w:rPr>
        <w:t xml:space="preserve"> funcionamento.</w:t>
      </w:r>
    </w:p>
    <w:p w14:paraId="2194E056" w14:textId="77777777" w:rsidR="00736335" w:rsidRDefault="00736335" w:rsidP="00736335">
      <w:pPr>
        <w:ind w:firstLine="709"/>
        <w:rPr>
          <w:szCs w:val="24"/>
        </w:rPr>
      </w:pPr>
    </w:p>
    <w:p w14:paraId="676EFA03" w14:textId="77777777" w:rsidR="00736335" w:rsidRDefault="00736335" w:rsidP="00736335">
      <w:pPr>
        <w:ind w:firstLine="709"/>
        <w:rPr>
          <w:szCs w:val="24"/>
        </w:rPr>
      </w:pPr>
      <w:r>
        <w:rPr>
          <w:szCs w:val="24"/>
        </w:rPr>
        <w:t>Para a avaliação do programa de integridade, a pessoa jurídica deverá apresentar relatório de perfil e relatório de conformidade do programa, documentos em que serão expressas as características da empresa e a composição, estrutura e funcionamento do programa (arts. 54, 55 e 56 do Decreto nº 1.106, de 2017).</w:t>
      </w:r>
      <w:r w:rsidR="00BC0D30">
        <w:rPr>
          <w:szCs w:val="24"/>
        </w:rPr>
        <w:t xml:space="preserve"> A partir das informações prestadas pela empresa, bem como de inspeções locais, a comissão irá avaliar o </w:t>
      </w:r>
      <w:r w:rsidR="00407E42">
        <w:rPr>
          <w:szCs w:val="24"/>
        </w:rPr>
        <w:t>p</w:t>
      </w:r>
      <w:r w:rsidR="00BC0D30">
        <w:rPr>
          <w:szCs w:val="24"/>
        </w:rPr>
        <w:t xml:space="preserve">rograma de </w:t>
      </w:r>
      <w:r w:rsidR="00407E42">
        <w:rPr>
          <w:szCs w:val="24"/>
        </w:rPr>
        <w:t>i</w:t>
      </w:r>
      <w:r w:rsidR="00BC0D30">
        <w:rPr>
          <w:szCs w:val="24"/>
        </w:rPr>
        <w:t xml:space="preserve">ntegridade quanto aos aspectos da cultura organizacional de integridade, dos mecanismos, políticas e procedimentos de integridade, bem como quanto à atuação da pessoa jurídica em relação ao ato lesivo. </w:t>
      </w:r>
    </w:p>
    <w:p w14:paraId="277A3CD4" w14:textId="77777777" w:rsidR="00743EBD" w:rsidRDefault="00743EBD" w:rsidP="00736335">
      <w:pPr>
        <w:ind w:firstLine="709"/>
        <w:rPr>
          <w:szCs w:val="24"/>
        </w:rPr>
      </w:pPr>
    </w:p>
    <w:p w14:paraId="177C4E89" w14:textId="77777777" w:rsidR="00BC0D30" w:rsidRPr="00644E32" w:rsidRDefault="00BC0D30" w:rsidP="00736335">
      <w:pPr>
        <w:ind w:firstLine="709"/>
        <w:rPr>
          <w:szCs w:val="24"/>
        </w:rPr>
      </w:pPr>
      <w:r>
        <w:rPr>
          <w:szCs w:val="24"/>
        </w:rPr>
        <w:t>O</w:t>
      </w:r>
      <w:r w:rsidR="00AF57E5">
        <w:rPr>
          <w:szCs w:val="24"/>
        </w:rPr>
        <w:t xml:space="preserve"> cálculo do percentual de redução da multa será resultante da avaliação da comissão sobre a constituição na empresa de um ambiente de cultura de integridade, com comprometimento </w:t>
      </w:r>
      <w:r w:rsidR="007C6DD2">
        <w:rPr>
          <w:szCs w:val="24"/>
        </w:rPr>
        <w:t xml:space="preserve">ético </w:t>
      </w:r>
      <w:r w:rsidR="00AF57E5">
        <w:rPr>
          <w:szCs w:val="24"/>
        </w:rPr>
        <w:t>da alta direção e dos empregados</w:t>
      </w:r>
      <w:r w:rsidR="007C6DD2">
        <w:rPr>
          <w:szCs w:val="24"/>
        </w:rPr>
        <w:t>;</w:t>
      </w:r>
      <w:r w:rsidR="00AF57E5">
        <w:rPr>
          <w:szCs w:val="24"/>
        </w:rPr>
        <w:t xml:space="preserve"> </w:t>
      </w:r>
      <w:r w:rsidR="007C6DD2">
        <w:rPr>
          <w:szCs w:val="24"/>
        </w:rPr>
        <w:t>da existência de políticas, planos e inst</w:t>
      </w:r>
      <w:r w:rsidR="00743EBD">
        <w:rPr>
          <w:szCs w:val="24"/>
        </w:rPr>
        <w:t>rumentos voltados à integridade,</w:t>
      </w:r>
      <w:r w:rsidR="007C6DD2">
        <w:rPr>
          <w:szCs w:val="24"/>
        </w:rPr>
        <w:t xml:space="preserve"> bem como sobre como se comportou a organização em relação ao ato lesivo detectado. </w:t>
      </w:r>
    </w:p>
    <w:p w14:paraId="16DD961E" w14:textId="77777777" w:rsidR="00736335" w:rsidRPr="00831663" w:rsidRDefault="00736335" w:rsidP="00736335">
      <w:pPr>
        <w:ind w:firstLine="709"/>
        <w:rPr>
          <w:szCs w:val="24"/>
        </w:rPr>
      </w:pPr>
    </w:p>
    <w:p w14:paraId="4DD4C727" w14:textId="77777777" w:rsidR="00736335" w:rsidRDefault="00736335" w:rsidP="00736335">
      <w:pPr>
        <w:ind w:firstLine="709"/>
        <w:rPr>
          <w:szCs w:val="24"/>
        </w:rPr>
      </w:pPr>
      <w:r w:rsidRPr="00657C81">
        <w:rPr>
          <w:szCs w:val="24"/>
        </w:rPr>
        <w:t>A</w:t>
      </w:r>
      <w:r>
        <w:rPr>
          <w:szCs w:val="24"/>
        </w:rPr>
        <w:t xml:space="preserve">ssim, denota-se que </w:t>
      </w:r>
      <w:r w:rsidRPr="006277D4">
        <w:rPr>
          <w:szCs w:val="24"/>
        </w:rPr>
        <w:t xml:space="preserve">a </w:t>
      </w:r>
      <w:hyperlink r:id="rId7" w:history="1">
        <w:r w:rsidRPr="006277D4">
          <w:rPr>
            <w:rStyle w:val="Hyperlink"/>
            <w:color w:val="auto"/>
            <w:szCs w:val="24"/>
            <w:u w:val="none"/>
          </w:rPr>
          <w:t>Lei nº 12.846/2013</w:t>
        </w:r>
      </w:hyperlink>
      <w:r w:rsidRPr="00657C81">
        <w:rPr>
          <w:szCs w:val="24"/>
        </w:rPr>
        <w:t xml:space="preserve"> reconhece a importância</w:t>
      </w:r>
      <w:r w:rsidR="00364472">
        <w:rPr>
          <w:szCs w:val="24"/>
        </w:rPr>
        <w:t xml:space="preserve"> </w:t>
      </w:r>
      <w:r w:rsidR="00364472" w:rsidRPr="006D376D">
        <w:rPr>
          <w:szCs w:val="24"/>
        </w:rPr>
        <w:t>da colaboração</w:t>
      </w:r>
      <w:r w:rsidRPr="006D376D">
        <w:rPr>
          <w:szCs w:val="24"/>
        </w:rPr>
        <w:t xml:space="preserve"> </w:t>
      </w:r>
      <w:r w:rsidRPr="00657C81">
        <w:rPr>
          <w:szCs w:val="24"/>
        </w:rPr>
        <w:t xml:space="preserve">do setor privado no efetivo combate à corrupção. A possibilidade de redução das penalidades em decorrência da adoção de um programa de integridade efetivo, da cooperação nas investigações ou da celebração de </w:t>
      </w:r>
      <w:r w:rsidR="001B21A6">
        <w:rPr>
          <w:szCs w:val="24"/>
        </w:rPr>
        <w:t>Acordo de Leniência</w:t>
      </w:r>
      <w:r w:rsidRPr="00657C81">
        <w:rPr>
          <w:szCs w:val="24"/>
        </w:rPr>
        <w:t xml:space="preserve"> são exemplos claros de reconhecimento da relevância da atuação dos entes privados</w:t>
      </w:r>
      <w:r>
        <w:rPr>
          <w:szCs w:val="24"/>
        </w:rPr>
        <w:t xml:space="preserve"> no estabelecimento de uma cultura ética, íntegra e anticorrupção</w:t>
      </w:r>
      <w:r w:rsidRPr="00657C81">
        <w:rPr>
          <w:szCs w:val="24"/>
        </w:rPr>
        <w:t>.</w:t>
      </w:r>
    </w:p>
    <w:p w14:paraId="76E8FD3B" w14:textId="77777777" w:rsidR="00736335" w:rsidRDefault="00736335" w:rsidP="00736335">
      <w:pPr>
        <w:ind w:firstLine="709"/>
        <w:rPr>
          <w:szCs w:val="24"/>
        </w:rPr>
      </w:pPr>
    </w:p>
    <w:p w14:paraId="6347A702" w14:textId="19136DE0" w:rsidR="00736335" w:rsidRDefault="00736335" w:rsidP="00736335">
      <w:pPr>
        <w:rPr>
          <w:szCs w:val="24"/>
        </w:rPr>
      </w:pPr>
    </w:p>
    <w:p w14:paraId="196AF408" w14:textId="37209F96" w:rsidR="0067626A" w:rsidRDefault="0067626A" w:rsidP="00736335">
      <w:pPr>
        <w:rPr>
          <w:szCs w:val="24"/>
        </w:rPr>
      </w:pPr>
    </w:p>
    <w:p w14:paraId="79971EAC" w14:textId="77777777" w:rsidR="0067626A" w:rsidRDefault="0067626A" w:rsidP="00736335">
      <w:pPr>
        <w:rPr>
          <w:szCs w:val="24"/>
        </w:rPr>
      </w:pPr>
    </w:p>
    <w:p w14:paraId="4EDEEB31" w14:textId="77777777" w:rsidR="00736335" w:rsidRPr="00364472" w:rsidRDefault="00736335" w:rsidP="00736335">
      <w:pPr>
        <w:rPr>
          <w:b/>
          <w:szCs w:val="24"/>
        </w:rPr>
      </w:pPr>
      <w:r w:rsidRPr="00364472">
        <w:rPr>
          <w:b/>
          <w:szCs w:val="24"/>
        </w:rPr>
        <w:t>Do monitoramento</w:t>
      </w:r>
    </w:p>
    <w:p w14:paraId="58F18D1E" w14:textId="77777777" w:rsidR="00736335" w:rsidRDefault="00736335" w:rsidP="00736335">
      <w:pPr>
        <w:rPr>
          <w:szCs w:val="24"/>
        </w:rPr>
      </w:pPr>
    </w:p>
    <w:p w14:paraId="45BF9B54" w14:textId="77777777" w:rsidR="00736335" w:rsidRDefault="00736335" w:rsidP="00736335">
      <w:pPr>
        <w:ind w:firstLine="708"/>
        <w:rPr>
          <w:szCs w:val="24"/>
        </w:rPr>
      </w:pPr>
      <w:r>
        <w:rPr>
          <w:szCs w:val="24"/>
        </w:rPr>
        <w:t xml:space="preserve">Uma vez celebrado 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, a CGE irá designar uma comissão para o acompanhamento </w:t>
      </w:r>
      <w:r w:rsidR="00364472" w:rsidRPr="006D376D">
        <w:rPr>
          <w:szCs w:val="24"/>
        </w:rPr>
        <w:t>d</w:t>
      </w:r>
      <w:r w:rsidRPr="006D376D">
        <w:rPr>
          <w:szCs w:val="24"/>
        </w:rPr>
        <w:t>o</w:t>
      </w:r>
      <w:r>
        <w:rPr>
          <w:szCs w:val="24"/>
        </w:rPr>
        <w:t xml:space="preserve"> cumprimento dos compromissos assumidos pela empresa leniente. </w:t>
      </w:r>
      <w:r w:rsidR="00CE569A">
        <w:rPr>
          <w:szCs w:val="24"/>
        </w:rPr>
        <w:t>Do monitoramento pela comissão poderá resultar, a critério do Controlador-Geral do Estado a resci</w:t>
      </w:r>
      <w:r w:rsidR="007136A1">
        <w:rPr>
          <w:szCs w:val="24"/>
        </w:rPr>
        <w:t>são do acordo por descumprimento ou sua extinção pelo adimplemento das condições pela empresa.</w:t>
      </w:r>
    </w:p>
    <w:p w14:paraId="62B6C0C7" w14:textId="77777777" w:rsidR="007136A1" w:rsidRDefault="007136A1" w:rsidP="00736335">
      <w:pPr>
        <w:ind w:firstLine="708"/>
        <w:rPr>
          <w:szCs w:val="24"/>
        </w:rPr>
      </w:pPr>
    </w:p>
    <w:p w14:paraId="180E7547" w14:textId="77777777" w:rsidR="007136A1" w:rsidRDefault="007136A1" w:rsidP="00736335">
      <w:pPr>
        <w:ind w:firstLine="708"/>
        <w:rPr>
          <w:szCs w:val="24"/>
        </w:rPr>
      </w:pPr>
      <w:r>
        <w:rPr>
          <w:szCs w:val="24"/>
        </w:rPr>
        <w:t>Em se constata</w:t>
      </w:r>
      <w:r w:rsidR="00743EBD">
        <w:rPr>
          <w:szCs w:val="24"/>
        </w:rPr>
        <w:t>n</w:t>
      </w:r>
      <w:r>
        <w:rPr>
          <w:szCs w:val="24"/>
        </w:rPr>
        <w:t xml:space="preserve">do o descumprimento pela empresa das cláusulas e obrigações constantes no </w:t>
      </w:r>
      <w:r w:rsidR="001B21A6">
        <w:rPr>
          <w:szCs w:val="24"/>
        </w:rPr>
        <w:t>Acordo de Leniência</w:t>
      </w:r>
      <w:r>
        <w:rPr>
          <w:szCs w:val="24"/>
        </w:rPr>
        <w:t xml:space="preserve">, após o contraditório e a ampla defesa, </w:t>
      </w:r>
      <w:r w:rsidR="003926B9">
        <w:rPr>
          <w:szCs w:val="24"/>
        </w:rPr>
        <w:t>serão adotadas as seguintes providên</w:t>
      </w:r>
      <w:r w:rsidR="00743EBD">
        <w:rPr>
          <w:szCs w:val="24"/>
        </w:rPr>
        <w:t>cias: registro nos autos do PAR,</w:t>
      </w:r>
      <w:r w:rsidR="003926B9">
        <w:rPr>
          <w:szCs w:val="24"/>
        </w:rPr>
        <w:t xml:space="preserve"> para prosseguimento; comunicação ao Ministério Público; registro no </w:t>
      </w:r>
      <w:r w:rsidR="003926B9" w:rsidRPr="003926B9">
        <w:rPr>
          <w:szCs w:val="24"/>
        </w:rPr>
        <w:t>Cadastro Nacional de Empresas Punidas (CNEP).</w:t>
      </w:r>
      <w:r w:rsidR="003926B9">
        <w:rPr>
          <w:szCs w:val="24"/>
        </w:rPr>
        <w:t xml:space="preserve"> </w:t>
      </w:r>
      <w:r w:rsidR="00743EBD">
        <w:rPr>
          <w:szCs w:val="24"/>
        </w:rPr>
        <w:t>Portanto,</w:t>
      </w:r>
      <w:r w:rsidR="003926B9">
        <w:rPr>
          <w:szCs w:val="24"/>
        </w:rPr>
        <w:t xml:space="preserve"> a empresa que descumprir o acordo perderá todos os benefícios negociados, terá de pagar o valor integral da multa e não poderá celebrar novo </w:t>
      </w:r>
      <w:r w:rsidR="001B21A6">
        <w:rPr>
          <w:szCs w:val="24"/>
        </w:rPr>
        <w:t>Acordo de Leniência</w:t>
      </w:r>
      <w:r w:rsidR="00743EBD">
        <w:rPr>
          <w:szCs w:val="24"/>
        </w:rPr>
        <w:t xml:space="preserve"> dentro do praz</w:t>
      </w:r>
      <w:r w:rsidR="003926B9">
        <w:rPr>
          <w:szCs w:val="24"/>
        </w:rPr>
        <w:t xml:space="preserve">o de 3 (três) anos. </w:t>
      </w:r>
    </w:p>
    <w:p w14:paraId="7DB5D63E" w14:textId="77777777" w:rsidR="00736335" w:rsidRDefault="00736335" w:rsidP="00736335">
      <w:pPr>
        <w:rPr>
          <w:szCs w:val="24"/>
        </w:rPr>
      </w:pPr>
    </w:p>
    <w:p w14:paraId="43E9043B" w14:textId="77777777" w:rsidR="00736335" w:rsidRPr="005F298F" w:rsidRDefault="003926B9" w:rsidP="003926B9">
      <w:pPr>
        <w:ind w:firstLine="708"/>
        <w:rPr>
          <w:szCs w:val="24"/>
        </w:rPr>
      </w:pPr>
      <w:r>
        <w:rPr>
          <w:szCs w:val="24"/>
        </w:rPr>
        <w:t xml:space="preserve">Por outro lado, com o cumprimento do </w:t>
      </w:r>
      <w:r w:rsidR="001B21A6">
        <w:rPr>
          <w:szCs w:val="24"/>
        </w:rPr>
        <w:t>Acordo de Leniência</w:t>
      </w:r>
      <w:r>
        <w:rPr>
          <w:szCs w:val="24"/>
        </w:rPr>
        <w:t>,</w:t>
      </w:r>
      <w:r w:rsidR="00635C66">
        <w:rPr>
          <w:szCs w:val="24"/>
        </w:rPr>
        <w:t xml:space="preserve"> serão declarados em favor da pessoa jurídica colaboradora</w:t>
      </w:r>
      <w:r w:rsidR="00307124">
        <w:rPr>
          <w:szCs w:val="24"/>
        </w:rPr>
        <w:t xml:space="preserve"> todos os benefícios firmados.</w:t>
      </w:r>
      <w:r>
        <w:rPr>
          <w:szCs w:val="24"/>
        </w:rPr>
        <w:t xml:space="preserve"> </w:t>
      </w:r>
    </w:p>
    <w:p w14:paraId="5D542113" w14:textId="77777777" w:rsidR="00736335" w:rsidRDefault="00736335" w:rsidP="00736335"/>
    <w:p w14:paraId="7F85C757" w14:textId="77777777" w:rsidR="00F1208B" w:rsidRPr="006C3505" w:rsidRDefault="00F1208B" w:rsidP="00F1208B">
      <w:pPr>
        <w:ind w:firstLine="1418"/>
        <w:rPr>
          <w:rFonts w:ascii="Arial" w:hAnsi="Arial" w:cs="Arial"/>
          <w:szCs w:val="24"/>
        </w:rPr>
      </w:pPr>
    </w:p>
    <w:sectPr w:rsidR="00F1208B" w:rsidRPr="006C3505" w:rsidSect="00A950E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81" w:right="794" w:bottom="1276" w:left="1361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69C18" w14:textId="77777777" w:rsidR="00A05A7A" w:rsidRDefault="00A05A7A" w:rsidP="00CB58E7">
      <w:r>
        <w:separator/>
      </w:r>
    </w:p>
  </w:endnote>
  <w:endnote w:type="continuationSeparator" w:id="0">
    <w:p w14:paraId="016D26A9" w14:textId="77777777" w:rsidR="00A05A7A" w:rsidRDefault="00A05A7A" w:rsidP="00CB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09F7" w14:textId="77777777" w:rsidR="003B7D3A" w:rsidRDefault="008E09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21B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2209EB" w14:textId="77777777" w:rsidR="003B7D3A" w:rsidRDefault="008456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657B" w14:textId="77777777" w:rsidR="00886C1D" w:rsidRDefault="00886C1D" w:rsidP="00A950E1">
    <w:pPr>
      <w:jc w:val="right"/>
      <w:rPr>
        <w:sz w:val="16"/>
        <w:szCs w:val="16"/>
      </w:rPr>
    </w:pPr>
  </w:p>
  <w:tbl>
    <w:tblPr>
      <w:tblStyle w:val="Tabelacomgrade"/>
      <w:tblW w:w="9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39"/>
      <w:gridCol w:w="2271"/>
    </w:tblGrid>
    <w:tr w:rsidR="00886C1D" w:rsidRPr="00A950E1" w14:paraId="3E42D5AF" w14:textId="77777777" w:rsidTr="00886C1D">
      <w:tc>
        <w:tcPr>
          <w:tcW w:w="7655" w:type="dxa"/>
        </w:tcPr>
        <w:p w14:paraId="301CE5BE" w14:textId="77777777" w:rsidR="00886C1D" w:rsidRPr="00A950E1" w:rsidRDefault="00886C1D" w:rsidP="00886C1D">
          <w:pPr>
            <w:spacing w:line="36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A950E1">
            <w:rPr>
              <w:rFonts w:ascii="Arial" w:hAnsi="Arial" w:cs="Arial"/>
              <w:sz w:val="16"/>
              <w:szCs w:val="16"/>
            </w:rPr>
            <w:t>Rod. José Carlos Daux, 5500 - Saco Grande, Florianópolis - SC, 88032-005</w:t>
          </w:r>
        </w:p>
        <w:p w14:paraId="5FA67D7E" w14:textId="77777777" w:rsidR="00886C1D" w:rsidRPr="00A950E1" w:rsidRDefault="00886C1D" w:rsidP="00886C1D">
          <w:pPr>
            <w:spacing w:line="36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A950E1">
            <w:rPr>
              <w:rFonts w:ascii="Arial" w:hAnsi="Arial" w:cs="Arial"/>
              <w:sz w:val="16"/>
              <w:szCs w:val="16"/>
            </w:rPr>
            <w:t>SC 401 Square Corporate – CFL – Torre Campeche B, 3º andar, sala 323</w:t>
          </w:r>
        </w:p>
        <w:p w14:paraId="112931F4" w14:textId="77777777" w:rsidR="00886C1D" w:rsidRPr="00A950E1" w:rsidRDefault="00886C1D" w:rsidP="00886C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950E1">
            <w:rPr>
              <w:rFonts w:ascii="Arial" w:hAnsi="Arial" w:cs="Arial"/>
              <w:sz w:val="16"/>
              <w:szCs w:val="16"/>
            </w:rPr>
            <w:t>Fone: (48) 3664-5720 - E-mail:</w:t>
          </w:r>
          <w:r w:rsidRPr="00A950E1">
            <w:rPr>
              <w:sz w:val="16"/>
              <w:szCs w:val="16"/>
            </w:rPr>
            <w:t xml:space="preserve"> </w:t>
          </w:r>
          <w:hyperlink r:id="rId1" w:history="1">
            <w:r w:rsidRPr="00A950E1">
              <w:rPr>
                <w:rStyle w:val="Hyperlink"/>
                <w:rFonts w:ascii="Arial" w:hAnsi="Arial" w:cs="Arial"/>
                <w:sz w:val="16"/>
                <w:szCs w:val="16"/>
              </w:rPr>
              <w:t>cgesc@cge.sc.gov.br</w:t>
            </w:r>
          </w:hyperlink>
        </w:p>
      </w:tc>
      <w:tc>
        <w:tcPr>
          <w:tcW w:w="2255" w:type="dxa"/>
        </w:tcPr>
        <w:p w14:paraId="746E15AF" w14:textId="77777777" w:rsidR="00886C1D" w:rsidRPr="00A950E1" w:rsidRDefault="00886C1D" w:rsidP="00886C1D">
          <w:pPr>
            <w:spacing w:line="360" w:lineRule="auto"/>
            <w:jc w:val="center"/>
            <w:rPr>
              <w:rFonts w:ascii="Arial" w:hAnsi="Arial" w:cs="Arial"/>
              <w:color w:val="0000FF"/>
              <w:sz w:val="16"/>
              <w:szCs w:val="16"/>
              <w:u w:val="single"/>
            </w:rPr>
          </w:pPr>
          <w:r w:rsidRPr="00A950E1">
            <w:rPr>
              <w:sz w:val="16"/>
              <w:szCs w:val="16"/>
            </w:rPr>
            <w:object w:dxaOrig="5309" w:dyaOrig="2040" w14:anchorId="2FE4DF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2.75pt;height:38.25pt">
                <v:imagedata r:id="rId2" o:title=""/>
              </v:shape>
              <o:OLEObject Type="Embed" ProgID="PBrush" ShapeID="_x0000_i1026" DrawAspect="Content" ObjectID="_1635069844" r:id="rId3"/>
            </w:object>
          </w:r>
        </w:p>
      </w:tc>
    </w:tr>
  </w:tbl>
  <w:p w14:paraId="250C5ED6" w14:textId="77777777" w:rsidR="00886C1D" w:rsidRDefault="00886C1D" w:rsidP="00A950E1">
    <w:pPr>
      <w:jc w:val="right"/>
      <w:rPr>
        <w:sz w:val="16"/>
        <w:szCs w:val="16"/>
      </w:rPr>
    </w:pPr>
  </w:p>
  <w:p w14:paraId="669EFD6C" w14:textId="77777777" w:rsidR="003B7D3A" w:rsidRPr="00A950E1" w:rsidRDefault="0084561C" w:rsidP="00A950E1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6AE6" w14:textId="77777777" w:rsidR="00A05A7A" w:rsidRDefault="00A05A7A" w:rsidP="00CB58E7">
      <w:r>
        <w:separator/>
      </w:r>
    </w:p>
  </w:footnote>
  <w:footnote w:type="continuationSeparator" w:id="0">
    <w:p w14:paraId="48AB0C5C" w14:textId="77777777" w:rsidR="00A05A7A" w:rsidRDefault="00A05A7A" w:rsidP="00CB58E7">
      <w:r>
        <w:continuationSeparator/>
      </w:r>
    </w:p>
  </w:footnote>
  <w:footnote w:id="1">
    <w:p w14:paraId="28DC7EF5" w14:textId="77777777" w:rsidR="00736335" w:rsidRDefault="00736335" w:rsidP="00736335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1" w:history="1">
        <w:r>
          <w:rPr>
            <w:rStyle w:val="Hyperlink"/>
          </w:rPr>
          <w:t>http://www.planalto.gov.br/CCivil_03/LEIS/L10149.htm</w:t>
        </w:r>
      </w:hyperlink>
      <w:r>
        <w:t>. Acesso em 11/04/2019.</w:t>
      </w:r>
    </w:p>
  </w:footnote>
  <w:footnote w:id="2">
    <w:p w14:paraId="2DFF3846" w14:textId="77777777" w:rsidR="00736335" w:rsidRDefault="00736335" w:rsidP="00736335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2" w:history="1">
        <w:r>
          <w:rPr>
            <w:rStyle w:val="Hyperlink"/>
          </w:rPr>
          <w:t>http://www.planalto.gov.br/CCIVIL_03/_Ato2011-2014/2011/Lei/L12529.htm</w:t>
        </w:r>
      </w:hyperlink>
      <w:r>
        <w:t>. Acesso em 11/04/2019.</w:t>
      </w:r>
    </w:p>
  </w:footnote>
  <w:footnote w:id="3">
    <w:p w14:paraId="331EA2E8" w14:textId="77777777" w:rsidR="00736335" w:rsidRDefault="00736335" w:rsidP="00736335">
      <w:pPr>
        <w:pStyle w:val="Textodenotaderodap"/>
      </w:pPr>
      <w:r>
        <w:rPr>
          <w:rStyle w:val="Refdenotaderodap"/>
        </w:rPr>
        <w:footnoteRef/>
      </w:r>
      <w:r>
        <w:t xml:space="preserve"> A CGU vem utilizando o termo “Entes Privados” para indicar as pessoas jurídicas de que trata a Lei nº 12.846, de 2013, uma vez que a expressão “pessoas jurídicas” engloba inclusive aquelas de direito público, tais como os Entes Federados e algumas entidades. Neste trabalho, utiliza-se o termo da Lei, “pessoas jurídicas”, com a advertência de que se tratam exclusivamente das de direito privado.</w:t>
      </w:r>
    </w:p>
  </w:footnote>
  <w:footnote w:id="4">
    <w:p w14:paraId="395C7114" w14:textId="77777777" w:rsidR="00736335" w:rsidRDefault="00736335" w:rsidP="00736335">
      <w:pPr>
        <w:pStyle w:val="Textodenotaderodap"/>
      </w:pPr>
      <w:r>
        <w:rPr>
          <w:rStyle w:val="Refdenotaderodap"/>
        </w:rPr>
        <w:footnoteRef/>
      </w:r>
      <w:r>
        <w:t xml:space="preserve"> Embora o Brasil não seja membro da OCDE, participou na qualidade de convidado na celebração da Convenção. Disponível em: </w:t>
      </w:r>
      <w:hyperlink r:id="rId3" w:history="1">
        <w:r>
          <w:rPr>
            <w:rStyle w:val="Hyperlink"/>
          </w:rPr>
          <w:t>http://www.planalto.gov.br/ccivil_03/decreto/D3678.htm</w:t>
        </w:r>
      </w:hyperlink>
      <w:r>
        <w:t>. Acesso em 10/04/2019.</w:t>
      </w:r>
    </w:p>
  </w:footnote>
  <w:footnote w:id="5">
    <w:p w14:paraId="2A6ADB18" w14:textId="77777777" w:rsidR="00736335" w:rsidRDefault="00736335" w:rsidP="00736335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4" w:history="1">
        <w:r>
          <w:rPr>
            <w:rStyle w:val="Hyperlink"/>
          </w:rPr>
          <w:t>http://www.planalto.gov.br/ccivil_03/_Ato2004-2006/2006/Decreto/D5687.htm</w:t>
        </w:r>
      </w:hyperlink>
      <w:r>
        <w:t>. Acesso em 10/04/2019.</w:t>
      </w:r>
    </w:p>
  </w:footnote>
  <w:footnote w:id="6">
    <w:p w14:paraId="6063DE7D" w14:textId="77777777" w:rsidR="00736335" w:rsidRDefault="00736335" w:rsidP="00736335">
      <w:pPr>
        <w:pStyle w:val="Textodenotaderodap"/>
      </w:pPr>
      <w:r>
        <w:rPr>
          <w:rStyle w:val="Refdenotaderodap"/>
        </w:rPr>
        <w:footnoteRef/>
      </w:r>
      <w:r>
        <w:t xml:space="preserve"> Artigo 5º da Convenção das Nações Unidas Contra a Corrupção. </w:t>
      </w:r>
      <w:r w:rsidRPr="005E0B2E">
        <w:rPr>
          <w:i/>
        </w:rPr>
        <w:t>Idem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34" w:type="dxa"/>
      <w:tblLayout w:type="fixed"/>
      <w:tblLook w:val="04A0" w:firstRow="1" w:lastRow="0" w:firstColumn="1" w:lastColumn="0" w:noHBand="0" w:noVBand="1"/>
    </w:tblPr>
    <w:tblGrid>
      <w:gridCol w:w="992"/>
      <w:gridCol w:w="9780"/>
    </w:tblGrid>
    <w:tr w:rsidR="00AE24DF" w:rsidRPr="00120F22" w14:paraId="312A57C7" w14:textId="77777777" w:rsidTr="00F1208B">
      <w:tc>
        <w:tcPr>
          <w:tcW w:w="992" w:type="dxa"/>
          <w:shd w:val="clear" w:color="auto" w:fill="auto"/>
        </w:tcPr>
        <w:p w14:paraId="29C30AC6" w14:textId="77777777" w:rsidR="00AE24DF" w:rsidRPr="00F1208B" w:rsidRDefault="00AE24DF" w:rsidP="00F1208B">
          <w:pPr>
            <w:pStyle w:val="Cabealho"/>
            <w:jc w:val="center"/>
          </w:pPr>
          <w:r w:rsidRPr="00120F22">
            <w:fldChar w:fldCharType="begin"/>
          </w:r>
          <w:r w:rsidRPr="00120F22">
            <w:instrText xml:space="preserve"> INCLUDEPICTURE "https://upload.wikimedia.org/wikipedia/commons/thumb/6/65/Bras%C3%A3o_de_Santa_Catarina.svg/200px-Bras%C3%A3o_de_Santa_Catarina.svg.png" \* MERGEFORMATINET </w:instrText>
          </w:r>
          <w:r w:rsidRPr="00120F22">
            <w:fldChar w:fldCharType="separate"/>
          </w:r>
          <w:r w:rsidR="009D3AAF">
            <w:fldChar w:fldCharType="begin"/>
          </w:r>
          <w:r w:rsidR="009D3AAF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9D3AAF">
            <w:fldChar w:fldCharType="separate"/>
          </w:r>
          <w:r w:rsidR="001808CD">
            <w:fldChar w:fldCharType="begin"/>
          </w:r>
          <w:r w:rsidR="001808CD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1808CD">
            <w:fldChar w:fldCharType="separate"/>
          </w:r>
          <w:r w:rsidR="00A05A7A">
            <w:fldChar w:fldCharType="begin"/>
          </w:r>
          <w:r w:rsidR="00A05A7A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A05A7A">
            <w:fldChar w:fldCharType="separate"/>
          </w:r>
          <w:r w:rsidR="00F1208B">
            <w:fldChar w:fldCharType="begin"/>
          </w:r>
          <w:r w:rsidR="00F1208B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F1208B">
            <w:fldChar w:fldCharType="separate"/>
          </w:r>
          <w:r w:rsidR="00205E4A">
            <w:fldChar w:fldCharType="begin"/>
          </w:r>
          <w:r w:rsidR="00205E4A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205E4A">
            <w:fldChar w:fldCharType="separate"/>
          </w:r>
          <w:r w:rsidR="00A950E1">
            <w:fldChar w:fldCharType="begin"/>
          </w:r>
          <w:r w:rsidR="00A950E1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A950E1">
            <w:fldChar w:fldCharType="separate"/>
          </w:r>
          <w:r w:rsidR="00886C1D">
            <w:fldChar w:fldCharType="begin"/>
          </w:r>
          <w:r w:rsidR="00886C1D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886C1D">
            <w:fldChar w:fldCharType="separate"/>
          </w:r>
          <w:r w:rsidR="00427BF1">
            <w:fldChar w:fldCharType="begin"/>
          </w:r>
          <w:r w:rsidR="00427BF1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427BF1">
            <w:fldChar w:fldCharType="separate"/>
          </w:r>
          <w:r w:rsidR="00446E5D">
            <w:fldChar w:fldCharType="begin"/>
          </w:r>
          <w:r w:rsidR="00446E5D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446E5D">
            <w:fldChar w:fldCharType="separate"/>
          </w:r>
          <w:r w:rsidR="005E7CC7">
            <w:fldChar w:fldCharType="begin"/>
          </w:r>
          <w:r w:rsidR="005E7CC7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5E7CC7">
            <w:fldChar w:fldCharType="separate"/>
          </w:r>
          <w:r w:rsidR="008F248A">
            <w:fldChar w:fldCharType="begin"/>
          </w:r>
          <w:r w:rsidR="008F248A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8F248A">
            <w:fldChar w:fldCharType="separate"/>
          </w:r>
          <w:r w:rsidR="007C6DD2">
            <w:fldChar w:fldCharType="begin"/>
          </w:r>
          <w:r w:rsidR="007C6DD2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7C6DD2">
            <w:fldChar w:fldCharType="separate"/>
          </w:r>
          <w:r w:rsidR="00BD5D9E">
            <w:fldChar w:fldCharType="begin"/>
          </w:r>
          <w:r w:rsidR="00BD5D9E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BD5D9E">
            <w:fldChar w:fldCharType="separate"/>
          </w:r>
          <w:r w:rsidR="00364472">
            <w:fldChar w:fldCharType="begin"/>
          </w:r>
          <w:r w:rsidR="00364472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364472">
            <w:fldChar w:fldCharType="separate"/>
          </w:r>
          <w:r w:rsidR="00205DC2">
            <w:fldChar w:fldCharType="begin"/>
          </w:r>
          <w:r w:rsidR="00205DC2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205DC2">
            <w:fldChar w:fldCharType="separate"/>
          </w:r>
          <w:r w:rsidR="00205DC2">
            <w:fldChar w:fldCharType="begin"/>
          </w:r>
          <w:r w:rsidR="00205DC2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205DC2">
            <w:fldChar w:fldCharType="separate"/>
          </w:r>
          <w:r w:rsidR="001A5634">
            <w:fldChar w:fldCharType="begin"/>
          </w:r>
          <w:r w:rsidR="001A5634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1A5634">
            <w:fldChar w:fldCharType="separate"/>
          </w:r>
          <w:r w:rsidR="001A5634">
            <w:fldChar w:fldCharType="begin"/>
          </w:r>
          <w:r w:rsidR="001A5634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1A5634">
            <w:fldChar w:fldCharType="separate"/>
          </w:r>
          <w:r w:rsidR="0067626A">
            <w:fldChar w:fldCharType="begin"/>
          </w:r>
          <w:r w:rsidR="0067626A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67626A">
            <w:fldChar w:fldCharType="separate"/>
          </w:r>
          <w:r w:rsidR="0084561C">
            <w:fldChar w:fldCharType="begin"/>
          </w:r>
          <w:r w:rsidR="0084561C">
            <w:instrText xml:space="preserve"> </w:instrText>
          </w:r>
          <w:r w:rsidR="0084561C">
            <w:instrText>INCLUDEPICTURE  "https://upload</w:instrText>
          </w:r>
          <w:r w:rsidR="0084561C">
            <w:instrText>.wikimedia.org/wikipedia/commons/thumb/6/65/Bras%C3%A3o_de_Santa_Catarina.svg/200px-Bras%C3%A3o_de_Santa_Catarina.svg.png" \* MERGEFORMATINET</w:instrText>
          </w:r>
          <w:r w:rsidR="0084561C">
            <w:instrText xml:space="preserve"> </w:instrText>
          </w:r>
          <w:r w:rsidR="0084561C">
            <w:fldChar w:fldCharType="separate"/>
          </w:r>
          <w:r w:rsidR="0084561C">
            <w:pict w14:anchorId="7F8517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esultado de imagem para brasÃ£o estado sc" style="width:41.25pt;height:44.25pt">
                <v:imagedata r:id="rId1" r:href="rId2"/>
              </v:shape>
            </w:pict>
          </w:r>
          <w:r w:rsidR="0084561C">
            <w:fldChar w:fldCharType="end"/>
          </w:r>
          <w:r w:rsidR="0067626A">
            <w:fldChar w:fldCharType="end"/>
          </w:r>
          <w:r w:rsidR="001A5634">
            <w:fldChar w:fldCharType="end"/>
          </w:r>
          <w:r w:rsidR="001A5634">
            <w:fldChar w:fldCharType="end"/>
          </w:r>
          <w:r w:rsidR="00205DC2">
            <w:fldChar w:fldCharType="end"/>
          </w:r>
          <w:r w:rsidR="00205DC2">
            <w:fldChar w:fldCharType="end"/>
          </w:r>
          <w:r w:rsidR="00364472">
            <w:fldChar w:fldCharType="end"/>
          </w:r>
          <w:r w:rsidR="00BD5D9E">
            <w:fldChar w:fldCharType="end"/>
          </w:r>
          <w:r w:rsidR="007C6DD2">
            <w:fldChar w:fldCharType="end"/>
          </w:r>
          <w:r w:rsidR="008F248A">
            <w:fldChar w:fldCharType="end"/>
          </w:r>
          <w:r w:rsidR="005E7CC7">
            <w:fldChar w:fldCharType="end"/>
          </w:r>
          <w:r w:rsidR="00446E5D">
            <w:fldChar w:fldCharType="end"/>
          </w:r>
          <w:r w:rsidR="00427BF1">
            <w:fldChar w:fldCharType="end"/>
          </w:r>
          <w:r w:rsidR="00886C1D">
            <w:fldChar w:fldCharType="end"/>
          </w:r>
          <w:r w:rsidR="00A950E1">
            <w:fldChar w:fldCharType="end"/>
          </w:r>
          <w:r w:rsidR="00205E4A">
            <w:fldChar w:fldCharType="end"/>
          </w:r>
          <w:r w:rsidR="00F1208B">
            <w:fldChar w:fldCharType="end"/>
          </w:r>
          <w:r w:rsidR="00A05A7A">
            <w:fldChar w:fldCharType="end"/>
          </w:r>
          <w:r w:rsidR="001808CD">
            <w:fldChar w:fldCharType="end"/>
          </w:r>
          <w:r w:rsidR="009D3AAF">
            <w:fldChar w:fldCharType="end"/>
          </w:r>
          <w:r w:rsidRPr="00120F22">
            <w:fldChar w:fldCharType="end"/>
          </w:r>
        </w:p>
      </w:tc>
      <w:tc>
        <w:tcPr>
          <w:tcW w:w="9780" w:type="dxa"/>
          <w:shd w:val="clear" w:color="auto" w:fill="auto"/>
        </w:tcPr>
        <w:p w14:paraId="3A811AF5" w14:textId="77777777" w:rsidR="00AE24DF" w:rsidRPr="00120F22" w:rsidRDefault="00AE24DF" w:rsidP="00F1208B">
          <w:pPr>
            <w:pStyle w:val="Cabealho"/>
            <w:rPr>
              <w:rFonts w:ascii="Arial" w:hAnsi="Arial" w:cs="Arial"/>
              <w:b/>
              <w:bCs/>
            </w:rPr>
          </w:pPr>
          <w:r w:rsidRPr="00120F22">
            <w:rPr>
              <w:rFonts w:ascii="Arial" w:hAnsi="Arial" w:cs="Arial"/>
              <w:b/>
              <w:bCs/>
            </w:rPr>
            <w:t>ESTADO DE SANTA CATARINA</w:t>
          </w:r>
        </w:p>
        <w:p w14:paraId="05F3F85B" w14:textId="77777777" w:rsidR="00AE24DF" w:rsidRPr="00120F22" w:rsidRDefault="00AE24DF" w:rsidP="00F1208B">
          <w:pPr>
            <w:pStyle w:val="Cabealho"/>
            <w:rPr>
              <w:rFonts w:ascii="Arial" w:hAnsi="Arial" w:cs="Arial"/>
              <w:b/>
              <w:bCs/>
            </w:rPr>
          </w:pPr>
          <w:r w:rsidRPr="00120F22">
            <w:rPr>
              <w:rFonts w:ascii="Arial" w:hAnsi="Arial" w:cs="Arial"/>
              <w:b/>
              <w:bCs/>
            </w:rPr>
            <w:t>CONTROLADORIA-GERAL DO ESTADO</w:t>
          </w:r>
        </w:p>
        <w:p w14:paraId="7B8B7C3E" w14:textId="77777777" w:rsidR="00AE24DF" w:rsidRPr="00120F22" w:rsidRDefault="005E7CC7" w:rsidP="00F1208B">
          <w:pPr>
            <w:pStyle w:val="Cabealh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CORREGEDORIA-GERAL DO ESTADO</w:t>
          </w:r>
        </w:p>
      </w:tc>
    </w:tr>
  </w:tbl>
  <w:p w14:paraId="40762D82" w14:textId="77777777" w:rsidR="0043204F" w:rsidRDefault="0043204F" w:rsidP="00AE24DF">
    <w:pPr>
      <w:pStyle w:val="Cabealho"/>
      <w:rPr>
        <w:rFonts w:ascii="Arial" w:hAnsi="Arial" w:cs="Arial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1745" w14:textId="77777777" w:rsidR="003B7D3A" w:rsidRDefault="0084561C">
    <w:pPr>
      <w:pStyle w:val="Legenda"/>
      <w:ind w:left="0" w:firstLine="0"/>
      <w:rPr>
        <w:rFonts w:ascii="Arial" w:hAnsi="Arial" w:cs="Arial"/>
        <w:b w:val="0"/>
        <w:bCs/>
        <w:sz w:val="20"/>
      </w:rPr>
    </w:pPr>
    <w:r>
      <w:rPr>
        <w:rFonts w:ascii="Arial" w:hAnsi="Arial" w:cs="Arial"/>
        <w:bCs/>
        <w:noProof/>
        <w:sz w:val="20"/>
      </w:rPr>
      <w:object w:dxaOrig="1440" w:dyaOrig="1440" w14:anchorId="7A51A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75pt;margin-top:23.95pt;width:63pt;height:56pt;z-index:251659264;mso-position-vertical-relative:page" fillcolor="window">
          <v:imagedata r:id="rId1" o:title="" grayscale="t"/>
          <w10:wrap type="square" anchory="page"/>
        </v:shape>
        <o:OLEObject Type="Embed" ProgID="Word.Picture.8" ShapeID="_x0000_s2049" DrawAspect="Content" ObjectID="_1635069845" r:id="rId2"/>
      </w:object>
    </w:r>
    <w:r w:rsidR="00421BB7">
      <w:rPr>
        <w:rFonts w:ascii="Arial" w:hAnsi="Arial" w:cs="Arial"/>
        <w:b w:val="0"/>
        <w:bCs/>
        <w:sz w:val="20"/>
      </w:rPr>
      <w:t>ESTADO DE SANTA CATARINA</w:t>
    </w:r>
  </w:p>
  <w:p w14:paraId="1FA3B4F8" w14:textId="77777777" w:rsidR="003B7D3A" w:rsidRDefault="00421BB7">
    <w:pPr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SECRETARIA DE ESTADO DA FAZENDA</w:t>
    </w:r>
  </w:p>
  <w:p w14:paraId="66624E28" w14:textId="77777777" w:rsidR="003B7D3A" w:rsidRDefault="00421BB7">
    <w:pPr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DIRETORIA DE AUDITORIA GERAL</w:t>
    </w:r>
  </w:p>
  <w:p w14:paraId="645D39FB" w14:textId="77777777" w:rsidR="003B7D3A" w:rsidRDefault="00421BB7">
    <w:pPr>
      <w:pStyle w:val="Cabealho"/>
      <w:tabs>
        <w:tab w:val="clear" w:pos="4419"/>
        <w:tab w:val="clear" w:pos="8838"/>
      </w:tabs>
      <w:rPr>
        <w:rFonts w:ascii="Arial" w:hAnsi="Arial" w:cs="Arial"/>
      </w:rPr>
    </w:pPr>
    <w:r>
      <w:rPr>
        <w:rFonts w:ascii="Arial" w:hAnsi="Arial" w:cs="Arial"/>
      </w:rPr>
      <w:t>GERÊNCIA DE AUDITORIA XXX</w:t>
    </w:r>
  </w:p>
  <w:p w14:paraId="67865023" w14:textId="77777777" w:rsidR="003B7D3A" w:rsidRDefault="0084561C">
    <w:pPr>
      <w:rPr>
        <w:rFonts w:ascii="Arial" w:hAnsi="Arial" w:cs="Arial"/>
        <w:bCs/>
        <w:sz w:val="20"/>
      </w:rPr>
    </w:pPr>
  </w:p>
  <w:p w14:paraId="26BD3585" w14:textId="77777777" w:rsidR="003B7D3A" w:rsidRDefault="0084561C">
    <w:pPr>
      <w:rPr>
        <w:rFonts w:ascii="Arial" w:hAnsi="Arial" w:cs="Arial"/>
        <w:bCs/>
        <w:sz w:val="20"/>
      </w:rPr>
    </w:pPr>
  </w:p>
  <w:p w14:paraId="43BAEAE2" w14:textId="77777777" w:rsidR="003B7D3A" w:rsidRDefault="0084561C">
    <w:pPr>
      <w:rPr>
        <w:rFonts w:ascii="Arial" w:hAnsi="Arial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4FA"/>
    <w:multiLevelType w:val="hybridMultilevel"/>
    <w:tmpl w:val="8C60A210"/>
    <w:lvl w:ilvl="0" w:tplc="0416000F">
      <w:start w:val="1"/>
      <w:numFmt w:val="decimal"/>
      <w:lvlText w:val="%1."/>
      <w:lvlJc w:val="left"/>
      <w:pPr>
        <w:ind w:left="1922" w:hanging="360"/>
      </w:pPr>
    </w:lvl>
    <w:lvl w:ilvl="1" w:tplc="04160019" w:tentative="1">
      <w:start w:val="1"/>
      <w:numFmt w:val="lowerLetter"/>
      <w:lvlText w:val="%2."/>
      <w:lvlJc w:val="left"/>
      <w:pPr>
        <w:ind w:left="2642" w:hanging="360"/>
      </w:pPr>
    </w:lvl>
    <w:lvl w:ilvl="2" w:tplc="0416001B" w:tentative="1">
      <w:start w:val="1"/>
      <w:numFmt w:val="lowerRoman"/>
      <w:lvlText w:val="%3."/>
      <w:lvlJc w:val="right"/>
      <w:pPr>
        <w:ind w:left="3362" w:hanging="180"/>
      </w:pPr>
    </w:lvl>
    <w:lvl w:ilvl="3" w:tplc="0416000F" w:tentative="1">
      <w:start w:val="1"/>
      <w:numFmt w:val="decimal"/>
      <w:lvlText w:val="%4."/>
      <w:lvlJc w:val="left"/>
      <w:pPr>
        <w:ind w:left="4082" w:hanging="360"/>
      </w:pPr>
    </w:lvl>
    <w:lvl w:ilvl="4" w:tplc="04160019" w:tentative="1">
      <w:start w:val="1"/>
      <w:numFmt w:val="lowerLetter"/>
      <w:lvlText w:val="%5."/>
      <w:lvlJc w:val="left"/>
      <w:pPr>
        <w:ind w:left="4802" w:hanging="360"/>
      </w:pPr>
    </w:lvl>
    <w:lvl w:ilvl="5" w:tplc="0416001B" w:tentative="1">
      <w:start w:val="1"/>
      <w:numFmt w:val="lowerRoman"/>
      <w:lvlText w:val="%6."/>
      <w:lvlJc w:val="right"/>
      <w:pPr>
        <w:ind w:left="5522" w:hanging="180"/>
      </w:pPr>
    </w:lvl>
    <w:lvl w:ilvl="6" w:tplc="0416000F" w:tentative="1">
      <w:start w:val="1"/>
      <w:numFmt w:val="decimal"/>
      <w:lvlText w:val="%7."/>
      <w:lvlJc w:val="left"/>
      <w:pPr>
        <w:ind w:left="6242" w:hanging="360"/>
      </w:pPr>
    </w:lvl>
    <w:lvl w:ilvl="7" w:tplc="04160019" w:tentative="1">
      <w:start w:val="1"/>
      <w:numFmt w:val="lowerLetter"/>
      <w:lvlText w:val="%8."/>
      <w:lvlJc w:val="left"/>
      <w:pPr>
        <w:ind w:left="6962" w:hanging="360"/>
      </w:pPr>
    </w:lvl>
    <w:lvl w:ilvl="8" w:tplc="0416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" w15:restartNumberingAfterBreak="0">
    <w:nsid w:val="37C37256"/>
    <w:multiLevelType w:val="hybridMultilevel"/>
    <w:tmpl w:val="2BEA3A34"/>
    <w:lvl w:ilvl="0" w:tplc="4688379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087D6A"/>
    <w:multiLevelType w:val="hybridMultilevel"/>
    <w:tmpl w:val="39781580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A4C51F8"/>
    <w:multiLevelType w:val="hybridMultilevel"/>
    <w:tmpl w:val="077442A4"/>
    <w:lvl w:ilvl="0" w:tplc="97EA7E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FD634C3"/>
    <w:multiLevelType w:val="hybridMultilevel"/>
    <w:tmpl w:val="BB125996"/>
    <w:lvl w:ilvl="0" w:tplc="D9E83D1C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B2"/>
    <w:rsid w:val="0001015C"/>
    <w:rsid w:val="00025070"/>
    <w:rsid w:val="00026BFB"/>
    <w:rsid w:val="00033AD4"/>
    <w:rsid w:val="00081792"/>
    <w:rsid w:val="000A7FF3"/>
    <w:rsid w:val="000C75F1"/>
    <w:rsid w:val="000F411C"/>
    <w:rsid w:val="00122C68"/>
    <w:rsid w:val="00137429"/>
    <w:rsid w:val="00162263"/>
    <w:rsid w:val="001808CD"/>
    <w:rsid w:val="001A3DB2"/>
    <w:rsid w:val="001A5634"/>
    <w:rsid w:val="001B21A6"/>
    <w:rsid w:val="001C1025"/>
    <w:rsid w:val="001C6069"/>
    <w:rsid w:val="001E12B0"/>
    <w:rsid w:val="001E6B99"/>
    <w:rsid w:val="002004DB"/>
    <w:rsid w:val="00205DC2"/>
    <w:rsid w:val="00205E4A"/>
    <w:rsid w:val="00214EAF"/>
    <w:rsid w:val="00230513"/>
    <w:rsid w:val="002536AD"/>
    <w:rsid w:val="002546AF"/>
    <w:rsid w:val="0025551A"/>
    <w:rsid w:val="0026464B"/>
    <w:rsid w:val="00271422"/>
    <w:rsid w:val="002745C4"/>
    <w:rsid w:val="002755AD"/>
    <w:rsid w:val="002978D9"/>
    <w:rsid w:val="002E5746"/>
    <w:rsid w:val="00303318"/>
    <w:rsid w:val="00307124"/>
    <w:rsid w:val="00347E80"/>
    <w:rsid w:val="00364472"/>
    <w:rsid w:val="003810CD"/>
    <w:rsid w:val="003926B9"/>
    <w:rsid w:val="00393979"/>
    <w:rsid w:val="0039497E"/>
    <w:rsid w:val="00397B16"/>
    <w:rsid w:val="003A4933"/>
    <w:rsid w:val="003B28C7"/>
    <w:rsid w:val="003C0748"/>
    <w:rsid w:val="003D704E"/>
    <w:rsid w:val="003F21FE"/>
    <w:rsid w:val="00407E42"/>
    <w:rsid w:val="00421704"/>
    <w:rsid w:val="00421BB7"/>
    <w:rsid w:val="00427BF1"/>
    <w:rsid w:val="0043204F"/>
    <w:rsid w:val="00446E5D"/>
    <w:rsid w:val="0045646A"/>
    <w:rsid w:val="00472485"/>
    <w:rsid w:val="00483E4E"/>
    <w:rsid w:val="0049389A"/>
    <w:rsid w:val="004A6905"/>
    <w:rsid w:val="004A7F4C"/>
    <w:rsid w:val="004C34F5"/>
    <w:rsid w:val="004C38ED"/>
    <w:rsid w:val="00500D0E"/>
    <w:rsid w:val="00510ADA"/>
    <w:rsid w:val="00517A0E"/>
    <w:rsid w:val="005202F5"/>
    <w:rsid w:val="0052185C"/>
    <w:rsid w:val="00522166"/>
    <w:rsid w:val="005254F9"/>
    <w:rsid w:val="00547628"/>
    <w:rsid w:val="00556BA7"/>
    <w:rsid w:val="00571563"/>
    <w:rsid w:val="00586D90"/>
    <w:rsid w:val="005918FC"/>
    <w:rsid w:val="005B1538"/>
    <w:rsid w:val="005C6AC4"/>
    <w:rsid w:val="005D5E8E"/>
    <w:rsid w:val="005D6C16"/>
    <w:rsid w:val="005E7CC7"/>
    <w:rsid w:val="00605EEC"/>
    <w:rsid w:val="006256AF"/>
    <w:rsid w:val="006277D4"/>
    <w:rsid w:val="006277EB"/>
    <w:rsid w:val="00635C66"/>
    <w:rsid w:val="0067626A"/>
    <w:rsid w:val="006B22A7"/>
    <w:rsid w:val="006B39D9"/>
    <w:rsid w:val="006C3505"/>
    <w:rsid w:val="006C4D3D"/>
    <w:rsid w:val="006D376D"/>
    <w:rsid w:val="006F43A6"/>
    <w:rsid w:val="0071294B"/>
    <w:rsid w:val="007136A1"/>
    <w:rsid w:val="00736335"/>
    <w:rsid w:val="00743EBD"/>
    <w:rsid w:val="007802FF"/>
    <w:rsid w:val="007A15CF"/>
    <w:rsid w:val="007C2B82"/>
    <w:rsid w:val="007C6DD2"/>
    <w:rsid w:val="007D1E99"/>
    <w:rsid w:val="00825075"/>
    <w:rsid w:val="0083287C"/>
    <w:rsid w:val="00835C86"/>
    <w:rsid w:val="0083759A"/>
    <w:rsid w:val="0084561C"/>
    <w:rsid w:val="008839CD"/>
    <w:rsid w:val="00886C1D"/>
    <w:rsid w:val="008B3B43"/>
    <w:rsid w:val="008D1583"/>
    <w:rsid w:val="008E094C"/>
    <w:rsid w:val="008F00FD"/>
    <w:rsid w:val="008F248A"/>
    <w:rsid w:val="00904A89"/>
    <w:rsid w:val="00912C7A"/>
    <w:rsid w:val="00923D76"/>
    <w:rsid w:val="00967D68"/>
    <w:rsid w:val="009707DC"/>
    <w:rsid w:val="00972BA4"/>
    <w:rsid w:val="00976579"/>
    <w:rsid w:val="0099200D"/>
    <w:rsid w:val="00996C3C"/>
    <w:rsid w:val="009A0E8C"/>
    <w:rsid w:val="009C3CB8"/>
    <w:rsid w:val="009C5074"/>
    <w:rsid w:val="009D3AAF"/>
    <w:rsid w:val="009E5CF2"/>
    <w:rsid w:val="00A05A7A"/>
    <w:rsid w:val="00A1248E"/>
    <w:rsid w:val="00A13724"/>
    <w:rsid w:val="00A22AD7"/>
    <w:rsid w:val="00A950E1"/>
    <w:rsid w:val="00AA1562"/>
    <w:rsid w:val="00AA76D3"/>
    <w:rsid w:val="00AE24DF"/>
    <w:rsid w:val="00AF57E5"/>
    <w:rsid w:val="00B22019"/>
    <w:rsid w:val="00B24DB0"/>
    <w:rsid w:val="00B3130F"/>
    <w:rsid w:val="00B47490"/>
    <w:rsid w:val="00B74EE7"/>
    <w:rsid w:val="00B813A7"/>
    <w:rsid w:val="00B82B42"/>
    <w:rsid w:val="00BA41F1"/>
    <w:rsid w:val="00BC0D30"/>
    <w:rsid w:val="00BC76BB"/>
    <w:rsid w:val="00BD5D9E"/>
    <w:rsid w:val="00BE7064"/>
    <w:rsid w:val="00BF1074"/>
    <w:rsid w:val="00BF43AE"/>
    <w:rsid w:val="00C12A76"/>
    <w:rsid w:val="00C26A47"/>
    <w:rsid w:val="00C41B49"/>
    <w:rsid w:val="00C50DCF"/>
    <w:rsid w:val="00C537B2"/>
    <w:rsid w:val="00C61BC5"/>
    <w:rsid w:val="00C75D02"/>
    <w:rsid w:val="00CA0293"/>
    <w:rsid w:val="00CB1740"/>
    <w:rsid w:val="00CB58E7"/>
    <w:rsid w:val="00CE569A"/>
    <w:rsid w:val="00CE6A49"/>
    <w:rsid w:val="00CF0268"/>
    <w:rsid w:val="00D1542F"/>
    <w:rsid w:val="00D20A31"/>
    <w:rsid w:val="00D75052"/>
    <w:rsid w:val="00D76E90"/>
    <w:rsid w:val="00DB7291"/>
    <w:rsid w:val="00DE631A"/>
    <w:rsid w:val="00E40E37"/>
    <w:rsid w:val="00E45B23"/>
    <w:rsid w:val="00E54F6C"/>
    <w:rsid w:val="00E745F5"/>
    <w:rsid w:val="00E9027A"/>
    <w:rsid w:val="00EA45E1"/>
    <w:rsid w:val="00EA5201"/>
    <w:rsid w:val="00EE21B1"/>
    <w:rsid w:val="00EE4331"/>
    <w:rsid w:val="00EE5AA6"/>
    <w:rsid w:val="00EF7878"/>
    <w:rsid w:val="00F031F5"/>
    <w:rsid w:val="00F04142"/>
    <w:rsid w:val="00F07B45"/>
    <w:rsid w:val="00F1208B"/>
    <w:rsid w:val="00F27D97"/>
    <w:rsid w:val="00F4669A"/>
    <w:rsid w:val="00F81FB1"/>
    <w:rsid w:val="00FA26DF"/>
    <w:rsid w:val="00FB00BA"/>
    <w:rsid w:val="00FB0859"/>
    <w:rsid w:val="00FC7BF4"/>
    <w:rsid w:val="00FD747E"/>
    <w:rsid w:val="00FE215B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9031C1"/>
  <w15:docId w15:val="{1112E236-040E-48ED-88AF-96ECCE6B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A3DB2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A3D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A3DB2"/>
  </w:style>
  <w:style w:type="paragraph" w:styleId="Rodap">
    <w:name w:val="footer"/>
    <w:basedOn w:val="Normal"/>
    <w:link w:val="RodapChar"/>
    <w:uiPriority w:val="99"/>
    <w:rsid w:val="001A3DB2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1A3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1A3DB2"/>
    <w:pPr>
      <w:ind w:left="708" w:firstLine="708"/>
    </w:pPr>
    <w:rPr>
      <w:rFonts w:ascii="Tahoma" w:hAnsi="Tahoma"/>
      <w:b/>
      <w:sz w:val="18"/>
    </w:rPr>
  </w:style>
  <w:style w:type="paragraph" w:styleId="Corpodetexto">
    <w:name w:val="Body Text"/>
    <w:basedOn w:val="Normal"/>
    <w:link w:val="CorpodetextoChar"/>
    <w:rsid w:val="001A3DB2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1A3DB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uiPriority w:val="99"/>
    <w:rsid w:val="001A3DB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8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nhideWhenUsed/>
    <w:rsid w:val="002646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6464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166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FC7BF4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A26DF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A26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FA26DF"/>
    <w:rPr>
      <w:vertAlign w:val="superscript"/>
    </w:rPr>
  </w:style>
  <w:style w:type="character" w:styleId="Forte">
    <w:name w:val="Strong"/>
    <w:basedOn w:val="Fontepargpadro"/>
    <w:uiPriority w:val="22"/>
    <w:qFormat/>
    <w:rsid w:val="00E9027A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24D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24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E24D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A76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76D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7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6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6D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1-2014/2013/Lei/L1284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cgesc@cge.sc.gov.b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alto.gov.br/ccivil_03/decreto/D3678.htm" TargetMode="External"/><Relationship Id="rId2" Type="http://schemas.openxmlformats.org/officeDocument/2006/relationships/hyperlink" Target="http://www.planalto.gov.br/CCIVIL_03/_Ato2011-2014/2011/Lei/L12529.htm" TargetMode="External"/><Relationship Id="rId1" Type="http://schemas.openxmlformats.org/officeDocument/2006/relationships/hyperlink" Target="http://www.planalto.gov.br/CCivil_03/LEIS/L10149.htm" TargetMode="External"/><Relationship Id="rId4" Type="http://schemas.openxmlformats.org/officeDocument/2006/relationships/hyperlink" Target="http://www.planalto.gov.br/ccivil_03/_Ato2004-2006/2006/Decreto/D5687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6/65/Bras%C3%A3o_de_Santa_Catarina.svg/200px-Bras%C3%A3o_de_Santa_Catarina.svg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3122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 Pereira de Freitas</dc:creator>
  <cp:lastModifiedBy>Cicero Alessandro Teixeira Barbosa</cp:lastModifiedBy>
  <cp:revision>5</cp:revision>
  <cp:lastPrinted>2018-10-19T18:58:00Z</cp:lastPrinted>
  <dcterms:created xsi:type="dcterms:W3CDTF">2019-11-11T20:53:00Z</dcterms:created>
  <dcterms:modified xsi:type="dcterms:W3CDTF">2019-11-12T16:18:00Z</dcterms:modified>
</cp:coreProperties>
</file>