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A186A" w14:textId="77777777" w:rsidR="00D623BF" w:rsidRPr="0021268B" w:rsidRDefault="00D623BF" w:rsidP="00D623BF">
      <w:pPr>
        <w:rPr>
          <w:rFonts w:ascii="Arial" w:hAnsi="Arial" w:cs="Arial"/>
          <w:b/>
          <w:sz w:val="22"/>
          <w:szCs w:val="22"/>
        </w:rPr>
      </w:pPr>
    </w:p>
    <w:p w14:paraId="24E76643" w14:textId="5429CCE6" w:rsidR="00D623BF" w:rsidRPr="0021268B" w:rsidRDefault="00C8364F" w:rsidP="00D623BF">
      <w:pPr>
        <w:rPr>
          <w:rFonts w:ascii="Arial" w:hAnsi="Arial" w:cs="Arial"/>
          <w:sz w:val="22"/>
          <w:szCs w:val="22"/>
        </w:rPr>
      </w:pPr>
      <w:r>
        <w:rPr>
          <w:rFonts w:ascii="Arial" w:hAnsi="Arial" w:cs="Arial"/>
          <w:b/>
          <w:sz w:val="22"/>
          <w:szCs w:val="22"/>
        </w:rPr>
        <w:t>ORIENTAÇÃO TÉCNICA Nº 001</w:t>
      </w:r>
      <w:r w:rsidR="00D623BF" w:rsidRPr="0021268B">
        <w:rPr>
          <w:rFonts w:ascii="Arial" w:hAnsi="Arial" w:cs="Arial"/>
          <w:b/>
          <w:sz w:val="22"/>
          <w:szCs w:val="22"/>
        </w:rPr>
        <w:t>/202</w:t>
      </w:r>
      <w:r w:rsidR="00973DDB">
        <w:rPr>
          <w:rFonts w:ascii="Arial" w:hAnsi="Arial" w:cs="Arial"/>
          <w:b/>
          <w:sz w:val="22"/>
          <w:szCs w:val="22"/>
        </w:rPr>
        <w:t>1</w:t>
      </w:r>
      <w:r w:rsidR="00D623BF" w:rsidRPr="0021268B">
        <w:rPr>
          <w:rFonts w:ascii="Arial" w:hAnsi="Arial" w:cs="Arial"/>
          <w:sz w:val="22"/>
          <w:szCs w:val="22"/>
        </w:rPr>
        <w:t xml:space="preserve">       </w:t>
      </w:r>
      <w:r w:rsidR="00D623BF">
        <w:rPr>
          <w:rFonts w:ascii="Arial" w:hAnsi="Arial" w:cs="Arial"/>
          <w:sz w:val="22"/>
          <w:szCs w:val="22"/>
        </w:rPr>
        <w:t xml:space="preserve">            </w:t>
      </w:r>
      <w:r w:rsidR="00D623BF" w:rsidRPr="0021268B">
        <w:rPr>
          <w:rFonts w:ascii="Arial" w:hAnsi="Arial" w:cs="Arial"/>
          <w:sz w:val="22"/>
          <w:szCs w:val="22"/>
        </w:rPr>
        <w:t xml:space="preserve">Florianópolis, </w:t>
      </w:r>
      <w:r w:rsidR="005657F4">
        <w:rPr>
          <w:rFonts w:ascii="Arial" w:hAnsi="Arial" w:cs="Arial"/>
          <w:sz w:val="22"/>
          <w:szCs w:val="22"/>
        </w:rPr>
        <w:t>15 de março</w:t>
      </w:r>
      <w:r w:rsidR="00D623BF" w:rsidRPr="0021268B">
        <w:rPr>
          <w:rFonts w:ascii="Arial" w:hAnsi="Arial" w:cs="Arial"/>
          <w:sz w:val="22"/>
          <w:szCs w:val="22"/>
        </w:rPr>
        <w:t xml:space="preserve"> de 2021. </w:t>
      </w:r>
    </w:p>
    <w:p w14:paraId="5C4AE451" w14:textId="77777777" w:rsidR="00D623BF" w:rsidRPr="0021268B" w:rsidRDefault="00D623BF" w:rsidP="00D623BF">
      <w:pPr>
        <w:rPr>
          <w:rFonts w:ascii="Arial" w:hAnsi="Arial" w:cs="Arial"/>
          <w:sz w:val="22"/>
          <w:szCs w:val="22"/>
        </w:rPr>
      </w:pPr>
      <w:r w:rsidRPr="0021268B">
        <w:rPr>
          <w:rFonts w:ascii="Arial" w:hAnsi="Arial" w:cs="Arial"/>
          <w:sz w:val="22"/>
          <w:szCs w:val="22"/>
        </w:rPr>
        <w:t xml:space="preserve"> </w:t>
      </w:r>
    </w:p>
    <w:p w14:paraId="4025D84F" w14:textId="77777777" w:rsidR="00D623BF" w:rsidRPr="0021268B" w:rsidRDefault="00D623BF" w:rsidP="00D623BF">
      <w:pPr>
        <w:rPr>
          <w:rFonts w:ascii="Arial" w:hAnsi="Arial" w:cs="Arial"/>
          <w:b/>
          <w:sz w:val="22"/>
          <w:szCs w:val="22"/>
        </w:rPr>
      </w:pPr>
    </w:p>
    <w:p w14:paraId="06E82339" w14:textId="77777777" w:rsidR="00D623BF" w:rsidRPr="0021268B" w:rsidRDefault="00D623BF" w:rsidP="00D623BF">
      <w:pPr>
        <w:rPr>
          <w:rFonts w:ascii="Arial" w:hAnsi="Arial" w:cs="Arial"/>
          <w:sz w:val="22"/>
          <w:szCs w:val="22"/>
        </w:rPr>
      </w:pPr>
    </w:p>
    <w:p w14:paraId="129BF0FD" w14:textId="77777777" w:rsidR="00D623BF" w:rsidRDefault="00D623BF" w:rsidP="00D623BF">
      <w:pPr>
        <w:ind w:left="4111"/>
        <w:rPr>
          <w:rFonts w:ascii="Arial" w:hAnsi="Arial" w:cs="Arial"/>
          <w:sz w:val="22"/>
          <w:szCs w:val="22"/>
        </w:rPr>
      </w:pPr>
    </w:p>
    <w:p w14:paraId="0378E4FE" w14:textId="2B65A104" w:rsidR="00D623BF" w:rsidRPr="00973DDB" w:rsidRDefault="00D623BF" w:rsidP="00D623BF">
      <w:pPr>
        <w:ind w:left="4111"/>
        <w:rPr>
          <w:rFonts w:ascii="Arial" w:hAnsi="Arial" w:cs="Arial"/>
          <w:b/>
          <w:sz w:val="22"/>
          <w:szCs w:val="22"/>
        </w:rPr>
      </w:pPr>
      <w:r w:rsidRPr="0021268B">
        <w:rPr>
          <w:rFonts w:ascii="Arial" w:hAnsi="Arial" w:cs="Arial"/>
          <w:sz w:val="22"/>
          <w:szCs w:val="22"/>
        </w:rPr>
        <w:t xml:space="preserve">Orienta os órgãos e entidades da Administração Pública Estadual sobre os procedimentos a serem adotados visando à </w:t>
      </w:r>
      <w:r w:rsidRPr="00973DDB">
        <w:rPr>
          <w:rFonts w:ascii="Arial" w:hAnsi="Arial" w:cs="Arial"/>
          <w:sz w:val="22"/>
          <w:szCs w:val="22"/>
        </w:rPr>
        <w:t>aquisição de bens e serviços destinados ao enfrentamento da emergência de saúde pública decorrente do coronavírus e à aquisição de vacinas,</w:t>
      </w:r>
      <w:r w:rsidRPr="0021268B">
        <w:rPr>
          <w:rFonts w:ascii="Arial" w:hAnsi="Arial" w:cs="Arial"/>
          <w:sz w:val="22"/>
          <w:szCs w:val="22"/>
        </w:rPr>
        <w:t xml:space="preserve"> insumos, bens e serviços de logística, tecnologia da informação, comunicação social e publicitária e treinamentos destinados especificamente à vacinação</w:t>
      </w:r>
      <w:r w:rsidRPr="0021268B">
        <w:rPr>
          <w:rFonts w:ascii="Arial" w:hAnsi="Arial" w:cs="Arial"/>
          <w:b/>
          <w:sz w:val="22"/>
          <w:szCs w:val="22"/>
        </w:rPr>
        <w:t xml:space="preserve"> </w:t>
      </w:r>
      <w:r w:rsidRPr="0021268B">
        <w:rPr>
          <w:rFonts w:ascii="Arial" w:hAnsi="Arial" w:cs="Arial"/>
          <w:sz w:val="22"/>
          <w:szCs w:val="22"/>
        </w:rPr>
        <w:t xml:space="preserve">contra a </w:t>
      </w:r>
      <w:r w:rsidRPr="00973DDB">
        <w:rPr>
          <w:rFonts w:ascii="Arial" w:hAnsi="Arial" w:cs="Arial"/>
          <w:b/>
          <w:sz w:val="22"/>
          <w:szCs w:val="22"/>
        </w:rPr>
        <w:t xml:space="preserve">COVID-19. Alterações em razão da </w:t>
      </w:r>
      <w:r w:rsidR="005657F4" w:rsidRPr="002865D5">
        <w:rPr>
          <w:rFonts w:ascii="Arial" w:hAnsi="Arial" w:cs="Arial"/>
          <w:b/>
          <w:sz w:val="22"/>
          <w:szCs w:val="22"/>
        </w:rPr>
        <w:t>Lei n. 14.124/2021</w:t>
      </w:r>
      <w:r w:rsidRPr="002865D5">
        <w:rPr>
          <w:rFonts w:ascii="Arial" w:hAnsi="Arial" w:cs="Arial"/>
          <w:b/>
          <w:sz w:val="22"/>
          <w:szCs w:val="22"/>
        </w:rPr>
        <w:t>, da Lei estadual n. 18.092/20</w:t>
      </w:r>
      <w:r w:rsidRPr="00973DDB">
        <w:rPr>
          <w:rFonts w:ascii="Arial" w:hAnsi="Arial" w:cs="Arial"/>
          <w:b/>
          <w:sz w:val="22"/>
          <w:szCs w:val="22"/>
        </w:rPr>
        <w:t>21, do Decreto estadual n. 903/2020 e da perda de vigência da Lei n. 13.979/2020.</w:t>
      </w:r>
    </w:p>
    <w:p w14:paraId="4FF597E6" w14:textId="77777777" w:rsidR="00D623BF" w:rsidRPr="0021268B" w:rsidRDefault="00D623BF" w:rsidP="00D623BF">
      <w:pPr>
        <w:ind w:left="4536"/>
        <w:rPr>
          <w:rFonts w:ascii="Arial" w:hAnsi="Arial" w:cs="Arial"/>
          <w:sz w:val="22"/>
          <w:szCs w:val="22"/>
        </w:rPr>
      </w:pPr>
    </w:p>
    <w:p w14:paraId="1BD1322A" w14:textId="77777777" w:rsidR="00D623BF" w:rsidRPr="0021268B" w:rsidRDefault="00D623BF" w:rsidP="00D623BF">
      <w:pPr>
        <w:spacing w:before="240"/>
        <w:rPr>
          <w:rFonts w:ascii="Arial" w:hAnsi="Arial" w:cs="Arial"/>
          <w:sz w:val="22"/>
          <w:szCs w:val="22"/>
        </w:rPr>
      </w:pPr>
    </w:p>
    <w:p w14:paraId="437E4668" w14:textId="77777777" w:rsidR="00D623BF" w:rsidRPr="0021268B" w:rsidRDefault="00D623BF" w:rsidP="00D623BF">
      <w:pPr>
        <w:pStyle w:val="PargrafodaLista"/>
        <w:numPr>
          <w:ilvl w:val="0"/>
          <w:numId w:val="1"/>
        </w:numPr>
        <w:spacing w:before="240"/>
        <w:rPr>
          <w:rFonts w:ascii="Arial" w:hAnsi="Arial" w:cs="Arial"/>
          <w:b/>
          <w:sz w:val="22"/>
          <w:szCs w:val="22"/>
        </w:rPr>
      </w:pPr>
      <w:r w:rsidRPr="0021268B">
        <w:rPr>
          <w:rFonts w:ascii="Arial" w:hAnsi="Arial" w:cs="Arial"/>
          <w:b/>
          <w:sz w:val="22"/>
          <w:szCs w:val="22"/>
        </w:rPr>
        <w:t>Introdução</w:t>
      </w:r>
    </w:p>
    <w:p w14:paraId="5E5FD2C1" w14:textId="77777777" w:rsidR="00D623BF" w:rsidRDefault="00D623BF" w:rsidP="00D623BF">
      <w:pPr>
        <w:spacing w:before="240"/>
        <w:ind w:firstLine="851"/>
        <w:rPr>
          <w:rFonts w:ascii="Arial" w:hAnsi="Arial" w:cs="Arial"/>
          <w:sz w:val="22"/>
          <w:szCs w:val="22"/>
        </w:rPr>
      </w:pPr>
      <w:r w:rsidRPr="0021268B">
        <w:rPr>
          <w:rFonts w:ascii="Arial" w:hAnsi="Arial" w:cs="Arial"/>
          <w:sz w:val="22"/>
          <w:szCs w:val="22"/>
        </w:rPr>
        <w:t xml:space="preserve">Considerando </w:t>
      </w:r>
      <w:r>
        <w:rPr>
          <w:rFonts w:ascii="Arial" w:hAnsi="Arial" w:cs="Arial"/>
          <w:sz w:val="22"/>
          <w:szCs w:val="22"/>
        </w:rPr>
        <w:t>a situação de emergência em saúde pública decorrente do coronavírus e a necessidade de aquisição de bens e serviços destinados ao enfrentamento da COVID-19, respaldada inicialmente pela Lei Federal n. 13.979/2020, que perdeu a vigência em 01/01/2021;</w:t>
      </w:r>
    </w:p>
    <w:p w14:paraId="1D252130" w14:textId="74BB1DB0" w:rsidR="00D623BF" w:rsidRDefault="00D623BF" w:rsidP="00D623BF">
      <w:pPr>
        <w:spacing w:before="240"/>
        <w:ind w:firstLine="851"/>
        <w:rPr>
          <w:rFonts w:ascii="Arial" w:hAnsi="Arial" w:cs="Arial"/>
          <w:sz w:val="22"/>
          <w:szCs w:val="22"/>
        </w:rPr>
      </w:pPr>
      <w:r>
        <w:rPr>
          <w:rFonts w:ascii="Arial" w:hAnsi="Arial" w:cs="Arial"/>
          <w:sz w:val="22"/>
          <w:szCs w:val="22"/>
        </w:rPr>
        <w:t>Considerando a entrada em vigor da Medida Provisória n. 1.026/2021</w:t>
      </w:r>
      <w:r w:rsidRPr="002865D5">
        <w:rPr>
          <w:rFonts w:ascii="Arial" w:hAnsi="Arial" w:cs="Arial"/>
          <w:sz w:val="22"/>
          <w:szCs w:val="22"/>
        </w:rPr>
        <w:t xml:space="preserve">, </w:t>
      </w:r>
      <w:r w:rsidR="005657F4" w:rsidRPr="002865D5">
        <w:rPr>
          <w:rFonts w:ascii="Arial" w:hAnsi="Arial" w:cs="Arial"/>
          <w:sz w:val="22"/>
          <w:szCs w:val="22"/>
        </w:rPr>
        <w:t xml:space="preserve">convertida na Lei n. 14.124/2021, </w:t>
      </w:r>
      <w:r w:rsidRPr="002865D5">
        <w:rPr>
          <w:rFonts w:ascii="Arial" w:hAnsi="Arial" w:cs="Arial"/>
          <w:sz w:val="22"/>
          <w:szCs w:val="22"/>
        </w:rPr>
        <w:t xml:space="preserve">que visa dar agilidade às contratações relacionadas à vacinação </w:t>
      </w:r>
      <w:r>
        <w:rPr>
          <w:rFonts w:ascii="Arial" w:hAnsi="Arial" w:cs="Arial"/>
          <w:sz w:val="22"/>
          <w:szCs w:val="22"/>
        </w:rPr>
        <w:t xml:space="preserve">contra a COVID-19, e demais alterações normativas </w:t>
      </w:r>
      <w:r w:rsidR="00973DDB">
        <w:rPr>
          <w:rFonts w:ascii="Arial" w:hAnsi="Arial" w:cs="Arial"/>
          <w:sz w:val="22"/>
          <w:szCs w:val="22"/>
        </w:rPr>
        <w:t xml:space="preserve">estaduais </w:t>
      </w:r>
      <w:r>
        <w:rPr>
          <w:rFonts w:ascii="Arial" w:hAnsi="Arial" w:cs="Arial"/>
          <w:sz w:val="22"/>
          <w:szCs w:val="22"/>
        </w:rPr>
        <w:t>nos processos de compras;</w:t>
      </w:r>
    </w:p>
    <w:p w14:paraId="3476F792" w14:textId="77777777" w:rsidR="00D623BF" w:rsidRDefault="00D623BF" w:rsidP="00D623BF">
      <w:pPr>
        <w:spacing w:before="240"/>
        <w:ind w:firstLine="851"/>
        <w:rPr>
          <w:rFonts w:ascii="Arial" w:hAnsi="Arial" w:cs="Arial"/>
          <w:sz w:val="22"/>
          <w:szCs w:val="22"/>
        </w:rPr>
      </w:pPr>
      <w:r>
        <w:rPr>
          <w:rFonts w:ascii="Arial" w:hAnsi="Arial" w:cs="Arial"/>
          <w:sz w:val="22"/>
          <w:szCs w:val="22"/>
        </w:rPr>
        <w:t>Considerando a importância dos valores despendidos pelo Estado nas aquisições destinadas ao enfrentamento de situações de emergência e de calamidade pública;</w:t>
      </w:r>
    </w:p>
    <w:p w14:paraId="53045A4E" w14:textId="54205BD8" w:rsidR="00D623BF" w:rsidRDefault="00D623BF" w:rsidP="00D623BF">
      <w:pPr>
        <w:spacing w:before="240"/>
        <w:ind w:firstLine="851"/>
        <w:rPr>
          <w:rFonts w:ascii="Arial" w:hAnsi="Arial" w:cs="Arial"/>
          <w:sz w:val="22"/>
          <w:szCs w:val="22"/>
        </w:rPr>
      </w:pPr>
      <w:r w:rsidRPr="0021268B">
        <w:rPr>
          <w:rFonts w:ascii="Arial" w:hAnsi="Arial" w:cs="Arial"/>
          <w:sz w:val="22"/>
          <w:szCs w:val="22"/>
        </w:rPr>
        <w:t>Considerando</w:t>
      </w:r>
      <w:r w:rsidR="009F5CF7">
        <w:rPr>
          <w:rFonts w:ascii="Arial" w:hAnsi="Arial" w:cs="Arial"/>
          <w:sz w:val="22"/>
          <w:szCs w:val="22"/>
        </w:rPr>
        <w:t xml:space="preserve"> </w:t>
      </w:r>
      <w:r w:rsidRPr="0021268B">
        <w:rPr>
          <w:rFonts w:ascii="Arial" w:hAnsi="Arial" w:cs="Arial"/>
          <w:sz w:val="22"/>
          <w:szCs w:val="22"/>
        </w:rPr>
        <w:t xml:space="preserve">as frequentes </w:t>
      </w:r>
      <w:r w:rsidRPr="007748CE">
        <w:rPr>
          <w:rFonts w:ascii="Arial" w:hAnsi="Arial" w:cs="Arial"/>
          <w:sz w:val="22"/>
          <w:szCs w:val="22"/>
        </w:rPr>
        <w:t>dúvidas e a necessidade de padronização</w:t>
      </w:r>
      <w:r w:rsidRPr="0021268B">
        <w:rPr>
          <w:rFonts w:ascii="Arial" w:hAnsi="Arial" w:cs="Arial"/>
          <w:sz w:val="22"/>
          <w:szCs w:val="22"/>
        </w:rPr>
        <w:t xml:space="preserve"> quanto às dispensas de licitação nos casos de emergência ou de calamidade pública, </w:t>
      </w:r>
      <w:r>
        <w:rPr>
          <w:rFonts w:ascii="Arial" w:hAnsi="Arial" w:cs="Arial"/>
          <w:sz w:val="22"/>
          <w:szCs w:val="22"/>
        </w:rPr>
        <w:t>e</w:t>
      </w:r>
      <w:r w:rsidRPr="0021268B">
        <w:rPr>
          <w:rFonts w:ascii="Arial" w:hAnsi="Arial" w:cs="Arial"/>
          <w:sz w:val="22"/>
          <w:szCs w:val="22"/>
        </w:rPr>
        <w:t xml:space="preserve"> especificamente ao regramento a ser utilizado </w:t>
      </w:r>
      <w:r>
        <w:rPr>
          <w:rFonts w:ascii="Arial" w:hAnsi="Arial" w:cs="Arial"/>
          <w:sz w:val="22"/>
          <w:szCs w:val="22"/>
        </w:rPr>
        <w:t>nas contratações relacionadas ao enfrentamento da COVID-19,</w:t>
      </w:r>
    </w:p>
    <w:p w14:paraId="69093A00" w14:textId="77777777" w:rsidR="00D623BF" w:rsidRDefault="00D623BF" w:rsidP="00D623BF">
      <w:pPr>
        <w:spacing w:before="240"/>
        <w:ind w:firstLine="851"/>
        <w:rPr>
          <w:rFonts w:ascii="Arial" w:hAnsi="Arial" w:cs="Arial"/>
          <w:sz w:val="22"/>
          <w:szCs w:val="22"/>
        </w:rPr>
      </w:pPr>
      <w:r w:rsidRPr="0021268B">
        <w:rPr>
          <w:rFonts w:ascii="Arial" w:hAnsi="Arial" w:cs="Arial"/>
          <w:sz w:val="22"/>
          <w:szCs w:val="22"/>
        </w:rPr>
        <w:t>A Controladoria-Gera</w:t>
      </w:r>
      <w:r>
        <w:rPr>
          <w:rFonts w:ascii="Arial" w:hAnsi="Arial" w:cs="Arial"/>
          <w:sz w:val="22"/>
          <w:szCs w:val="22"/>
        </w:rPr>
        <w:t xml:space="preserve">l do Estado – </w:t>
      </w:r>
      <w:r w:rsidRPr="0021268B">
        <w:rPr>
          <w:rFonts w:ascii="Arial" w:hAnsi="Arial" w:cs="Arial"/>
          <w:sz w:val="22"/>
          <w:szCs w:val="22"/>
        </w:rPr>
        <w:t>CGE, por meio da Gerência de Audito</w:t>
      </w:r>
      <w:r>
        <w:rPr>
          <w:rFonts w:ascii="Arial" w:hAnsi="Arial" w:cs="Arial"/>
          <w:sz w:val="22"/>
          <w:szCs w:val="22"/>
        </w:rPr>
        <w:t xml:space="preserve">ria de Licitações e Contratos – </w:t>
      </w:r>
      <w:r w:rsidRPr="0021268B">
        <w:rPr>
          <w:rFonts w:ascii="Arial" w:hAnsi="Arial" w:cs="Arial"/>
          <w:sz w:val="22"/>
          <w:szCs w:val="22"/>
        </w:rPr>
        <w:t xml:space="preserve">GEALC, com fulcro no que estabelecem a Constituição do Estado de Santa Catarina, </w:t>
      </w:r>
      <w:r>
        <w:rPr>
          <w:rFonts w:ascii="Arial" w:hAnsi="Arial" w:cs="Arial"/>
          <w:sz w:val="22"/>
          <w:szCs w:val="22"/>
        </w:rPr>
        <w:t>em seus artigos</w:t>
      </w:r>
      <w:r w:rsidRPr="0021268B">
        <w:rPr>
          <w:rFonts w:ascii="Arial" w:hAnsi="Arial" w:cs="Arial"/>
          <w:sz w:val="22"/>
          <w:szCs w:val="22"/>
        </w:rPr>
        <w:t xml:space="preserve"> 58 e</w:t>
      </w:r>
      <w:r>
        <w:rPr>
          <w:rFonts w:ascii="Arial" w:hAnsi="Arial" w:cs="Arial"/>
          <w:sz w:val="22"/>
          <w:szCs w:val="22"/>
        </w:rPr>
        <w:t xml:space="preserve"> 62, a Lei Complementar nº 741/2019 e o Decreto nº 2.056/</w:t>
      </w:r>
      <w:r w:rsidRPr="0021268B">
        <w:rPr>
          <w:rFonts w:ascii="Arial" w:hAnsi="Arial" w:cs="Arial"/>
          <w:sz w:val="22"/>
          <w:szCs w:val="22"/>
        </w:rPr>
        <w:t xml:space="preserve">2009, </w:t>
      </w:r>
      <w:r w:rsidRPr="009F5CF7">
        <w:rPr>
          <w:rFonts w:ascii="Arial" w:hAnsi="Arial" w:cs="Arial"/>
          <w:sz w:val="22"/>
          <w:szCs w:val="22"/>
        </w:rPr>
        <w:t>orienta</w:t>
      </w:r>
      <w:r w:rsidRPr="0021268B">
        <w:rPr>
          <w:rFonts w:ascii="Arial" w:hAnsi="Arial" w:cs="Arial"/>
          <w:sz w:val="22"/>
          <w:szCs w:val="22"/>
        </w:rPr>
        <w:t xml:space="preserve"> os órgãos e entidades sobre os procedimentos a serem adotados visando </w:t>
      </w:r>
      <w:r>
        <w:rPr>
          <w:rFonts w:ascii="Arial" w:hAnsi="Arial" w:cs="Arial"/>
          <w:sz w:val="22"/>
          <w:szCs w:val="22"/>
        </w:rPr>
        <w:t>às aquisições</w:t>
      </w:r>
      <w:r w:rsidRPr="0021268B">
        <w:rPr>
          <w:rFonts w:ascii="Arial" w:hAnsi="Arial" w:cs="Arial"/>
          <w:b/>
          <w:sz w:val="22"/>
          <w:szCs w:val="22"/>
        </w:rPr>
        <w:t xml:space="preserve"> </w:t>
      </w:r>
      <w:r w:rsidRPr="00F3753A">
        <w:rPr>
          <w:rFonts w:ascii="Arial" w:hAnsi="Arial" w:cs="Arial"/>
          <w:sz w:val="22"/>
          <w:szCs w:val="22"/>
        </w:rPr>
        <w:t>de bens e serviços destinados ao enfrentamento da emergência de saúde pública decorrente do coronavírus, bem como às contratações relacionadas especificamente à vacinação contra a COVID-19.</w:t>
      </w:r>
    </w:p>
    <w:p w14:paraId="2202FFC6" w14:textId="77777777" w:rsidR="00D623BF" w:rsidRPr="0021268B" w:rsidRDefault="00D623BF" w:rsidP="00D623BF">
      <w:pPr>
        <w:spacing w:before="240"/>
        <w:ind w:firstLine="851"/>
        <w:rPr>
          <w:rFonts w:ascii="Arial" w:hAnsi="Arial" w:cs="Arial"/>
          <w:sz w:val="22"/>
          <w:szCs w:val="22"/>
        </w:rPr>
      </w:pPr>
    </w:p>
    <w:p w14:paraId="681B0660" w14:textId="77777777" w:rsidR="00D623BF" w:rsidRPr="0021268B" w:rsidRDefault="00D623BF" w:rsidP="00D623BF">
      <w:pPr>
        <w:pStyle w:val="PargrafodaLista"/>
        <w:numPr>
          <w:ilvl w:val="0"/>
          <w:numId w:val="1"/>
        </w:numPr>
        <w:spacing w:before="240"/>
        <w:rPr>
          <w:rFonts w:ascii="Arial" w:hAnsi="Arial" w:cs="Arial"/>
          <w:b/>
          <w:sz w:val="22"/>
          <w:szCs w:val="22"/>
        </w:rPr>
      </w:pPr>
      <w:r w:rsidRPr="0021268B">
        <w:rPr>
          <w:rFonts w:ascii="Arial" w:hAnsi="Arial" w:cs="Arial"/>
          <w:b/>
          <w:sz w:val="22"/>
          <w:szCs w:val="22"/>
        </w:rPr>
        <w:t xml:space="preserve">Mudanças decorrentes da perda de vigência da Lei </w:t>
      </w:r>
      <w:r>
        <w:rPr>
          <w:rFonts w:ascii="Arial" w:hAnsi="Arial" w:cs="Arial"/>
          <w:b/>
          <w:sz w:val="22"/>
          <w:szCs w:val="22"/>
        </w:rPr>
        <w:t xml:space="preserve">n. </w:t>
      </w:r>
      <w:r w:rsidRPr="0021268B">
        <w:rPr>
          <w:rFonts w:ascii="Arial" w:hAnsi="Arial" w:cs="Arial"/>
          <w:b/>
          <w:sz w:val="22"/>
          <w:szCs w:val="22"/>
        </w:rPr>
        <w:t>13.979/2020</w:t>
      </w:r>
    </w:p>
    <w:p w14:paraId="6FD07A99" w14:textId="77777777" w:rsidR="00D623BF" w:rsidRDefault="00D623BF" w:rsidP="00D623BF">
      <w:pPr>
        <w:spacing w:before="240"/>
        <w:ind w:firstLine="851"/>
        <w:rPr>
          <w:rFonts w:ascii="Arial" w:hAnsi="Arial" w:cs="Arial"/>
          <w:sz w:val="22"/>
          <w:szCs w:val="22"/>
        </w:rPr>
      </w:pPr>
      <w:r>
        <w:rPr>
          <w:rFonts w:ascii="Arial" w:hAnsi="Arial" w:cs="Arial"/>
          <w:sz w:val="22"/>
          <w:szCs w:val="22"/>
        </w:rPr>
        <w:t>Diante da situação de pandemia, a Lei Federal n. 13.979/2020 foi publicada em 06/02/2020 com o objetivo de flexibilizar e dar maior celeridade aos processos de aquisição de bens e serviços destinados ao enfrentamento da COVID-19.</w:t>
      </w:r>
    </w:p>
    <w:p w14:paraId="2BFC24BD" w14:textId="77777777" w:rsidR="00D623BF" w:rsidRDefault="00D623BF" w:rsidP="00D623BF">
      <w:pPr>
        <w:spacing w:before="240"/>
        <w:ind w:firstLine="851"/>
        <w:rPr>
          <w:rFonts w:ascii="Arial" w:hAnsi="Arial" w:cs="Arial"/>
          <w:sz w:val="22"/>
          <w:szCs w:val="22"/>
        </w:rPr>
      </w:pPr>
      <w:r>
        <w:rPr>
          <w:rFonts w:ascii="Arial" w:hAnsi="Arial" w:cs="Arial"/>
          <w:sz w:val="22"/>
          <w:szCs w:val="22"/>
        </w:rPr>
        <w:t>De acordo com o art. 8</w:t>
      </w:r>
      <w:r w:rsidRPr="00EA1367">
        <w:rPr>
          <w:rFonts w:ascii="Arial" w:hAnsi="Arial" w:cs="Arial"/>
          <w:sz w:val="22"/>
          <w:szCs w:val="22"/>
          <w:vertAlign w:val="superscript"/>
        </w:rPr>
        <w:t>o</w:t>
      </w:r>
      <w:r>
        <w:rPr>
          <w:rFonts w:ascii="Arial" w:hAnsi="Arial" w:cs="Arial"/>
          <w:sz w:val="22"/>
          <w:szCs w:val="22"/>
        </w:rPr>
        <w:t xml:space="preserve"> da Lei n. 13.979/2020, sua vigência era vinculada ao Decreto Legislativo n. 06/2020, o qual, por previsão expressa, deixou de produzir efeitos após 31/12/2020.</w:t>
      </w:r>
    </w:p>
    <w:p w14:paraId="031A2288" w14:textId="77777777" w:rsidR="00D623BF" w:rsidRDefault="00D623BF" w:rsidP="00D623BF">
      <w:pPr>
        <w:widowControl w:val="0"/>
        <w:autoSpaceDE w:val="0"/>
        <w:autoSpaceDN w:val="0"/>
        <w:adjustRightInd w:val="0"/>
        <w:jc w:val="left"/>
        <w:rPr>
          <w:rFonts w:eastAsia="Calibri"/>
          <w:sz w:val="20"/>
          <w:szCs w:val="20"/>
          <w:lang w:val="en-US"/>
        </w:rPr>
      </w:pPr>
    </w:p>
    <w:p w14:paraId="1CAB73E8" w14:textId="77777777" w:rsidR="00D623BF" w:rsidRPr="001C6A88" w:rsidRDefault="00D623BF" w:rsidP="00D623BF">
      <w:pPr>
        <w:widowControl w:val="0"/>
        <w:autoSpaceDE w:val="0"/>
        <w:autoSpaceDN w:val="0"/>
        <w:adjustRightInd w:val="0"/>
        <w:ind w:left="2268"/>
        <w:rPr>
          <w:rFonts w:ascii="Arial" w:eastAsia="Calibri" w:hAnsi="Arial"/>
          <w:sz w:val="16"/>
          <w:szCs w:val="16"/>
          <w:lang w:val="en-US"/>
        </w:rPr>
      </w:pPr>
      <w:r w:rsidRPr="001C6A88">
        <w:rPr>
          <w:rFonts w:ascii="Arial" w:eastAsia="Calibri" w:hAnsi="Arial"/>
          <w:sz w:val="16"/>
          <w:szCs w:val="16"/>
          <w:lang w:val="en-US"/>
        </w:rPr>
        <w:t>Art. 8º Esta Lei vigorará enquanto estiver vigente o Decreto Legislativo nº 6, de 20 de março de 2020, observado o disposto no art. 4º-H desta Lei. (Redação dada pela Lei nº 14.035, de 2020)</w:t>
      </w:r>
    </w:p>
    <w:p w14:paraId="788A3D1C" w14:textId="77777777" w:rsidR="00D623BF" w:rsidRPr="001C6A88" w:rsidRDefault="00D623BF" w:rsidP="00D623BF">
      <w:pPr>
        <w:widowControl w:val="0"/>
        <w:autoSpaceDE w:val="0"/>
        <w:autoSpaceDN w:val="0"/>
        <w:adjustRightInd w:val="0"/>
        <w:ind w:left="2268"/>
        <w:rPr>
          <w:rFonts w:ascii="Arial" w:eastAsia="Calibri" w:hAnsi="Arial"/>
          <w:sz w:val="16"/>
          <w:szCs w:val="16"/>
          <w:lang w:val="en-US"/>
        </w:rPr>
      </w:pPr>
    </w:p>
    <w:p w14:paraId="6A5743FF" w14:textId="77777777" w:rsidR="00D623BF" w:rsidRPr="001C6A88" w:rsidRDefault="00D623BF" w:rsidP="00D623BF">
      <w:pPr>
        <w:widowControl w:val="0"/>
        <w:autoSpaceDE w:val="0"/>
        <w:autoSpaceDN w:val="0"/>
        <w:adjustRightInd w:val="0"/>
        <w:ind w:left="2268"/>
        <w:rPr>
          <w:rFonts w:ascii="Arial" w:eastAsia="Calibri" w:hAnsi="Arial"/>
          <w:sz w:val="16"/>
          <w:szCs w:val="16"/>
          <w:lang w:val="en-US"/>
        </w:rPr>
      </w:pPr>
      <w:r w:rsidRPr="001C6A88">
        <w:rPr>
          <w:rFonts w:ascii="Arial" w:eastAsia="Calibri" w:hAnsi="Arial"/>
          <w:sz w:val="16"/>
          <w:szCs w:val="16"/>
          <w:lang w:val="en-US"/>
        </w:rPr>
        <w:t>Art. 1º Fica reconhecida, exclusivamente para os fins do art. 65 da Lei Complementar nº 101, de 4 de maio de 2000, notadamente para as dispensas do atingimento dos resultados fiscais previstos no art. 2º da Lei nº 13.898, de 11 de novembro de 2019, e da limitação de empenho de que trata o art. 9º da Lei Complementar nº 101, de 4 de maio de 2000, a ocorrência do estado de calamidade pública, com efeitos até 31 de dezembro de 2020, nos termos da solicitação do Presidente da República encaminhada por meio da Mensagem nº 93, de 18 de março de 2020 . (Decreto Legislativo n. 06/2020</w:t>
      </w:r>
      <w:r>
        <w:rPr>
          <w:rFonts w:ascii="Arial" w:eastAsia="Calibri" w:hAnsi="Arial"/>
          <w:sz w:val="16"/>
          <w:szCs w:val="16"/>
          <w:lang w:val="en-US"/>
        </w:rPr>
        <w:t>)</w:t>
      </w:r>
    </w:p>
    <w:p w14:paraId="30D86BF9" w14:textId="77777777" w:rsidR="00B6749B" w:rsidRDefault="00D623BF" w:rsidP="00D623BF">
      <w:pPr>
        <w:spacing w:before="240"/>
        <w:ind w:firstLine="851"/>
        <w:rPr>
          <w:rFonts w:ascii="Arial" w:hAnsi="Arial" w:cs="Arial"/>
          <w:sz w:val="22"/>
          <w:szCs w:val="22"/>
        </w:rPr>
      </w:pPr>
      <w:r>
        <w:rPr>
          <w:rFonts w:ascii="Arial" w:hAnsi="Arial" w:cs="Arial"/>
          <w:sz w:val="22"/>
          <w:szCs w:val="22"/>
        </w:rPr>
        <w:t xml:space="preserve">Portanto, </w:t>
      </w:r>
      <w:r w:rsidRPr="00B6749B">
        <w:rPr>
          <w:rFonts w:ascii="Arial" w:hAnsi="Arial" w:cs="Arial"/>
          <w:sz w:val="22"/>
          <w:szCs w:val="22"/>
        </w:rPr>
        <w:t>as contratações relacionadas ao enfrentamento da COVID-19</w:t>
      </w:r>
      <w:r w:rsidRPr="00AD0560">
        <w:rPr>
          <w:rFonts w:ascii="Arial" w:hAnsi="Arial" w:cs="Arial"/>
          <w:b/>
          <w:sz w:val="22"/>
          <w:szCs w:val="22"/>
        </w:rPr>
        <w:t xml:space="preserve"> </w:t>
      </w:r>
      <w:r>
        <w:rPr>
          <w:rFonts w:ascii="Arial" w:hAnsi="Arial" w:cs="Arial"/>
          <w:sz w:val="22"/>
          <w:szCs w:val="22"/>
        </w:rPr>
        <w:t>não podem mais ser fundamentadas na hipótese específica de dispensa de licitação do art. 4</w:t>
      </w:r>
      <w:r w:rsidR="00B6749B" w:rsidRPr="00B6749B">
        <w:rPr>
          <w:rFonts w:ascii="Arial" w:hAnsi="Arial" w:cs="Arial"/>
          <w:sz w:val="22"/>
          <w:szCs w:val="22"/>
          <w:vertAlign w:val="superscript"/>
        </w:rPr>
        <w:t>o</w:t>
      </w:r>
      <w:r w:rsidR="00B6749B">
        <w:rPr>
          <w:rFonts w:ascii="Arial" w:hAnsi="Arial" w:cs="Arial"/>
          <w:sz w:val="22"/>
          <w:szCs w:val="22"/>
        </w:rPr>
        <w:t xml:space="preserve"> </w:t>
      </w:r>
      <w:r>
        <w:rPr>
          <w:rFonts w:ascii="Arial" w:hAnsi="Arial" w:cs="Arial"/>
          <w:sz w:val="22"/>
          <w:szCs w:val="22"/>
        </w:rPr>
        <w:t xml:space="preserve"> da Lei n. 13.979/2020. </w:t>
      </w:r>
      <w:r w:rsidR="00B6749B">
        <w:rPr>
          <w:rFonts w:ascii="Arial" w:hAnsi="Arial" w:cs="Arial"/>
          <w:sz w:val="22"/>
          <w:szCs w:val="22"/>
        </w:rPr>
        <w:t xml:space="preserve">Com o transcurso do tempo, a </w:t>
      </w:r>
      <w:r>
        <w:rPr>
          <w:rFonts w:ascii="Arial" w:hAnsi="Arial" w:cs="Arial"/>
          <w:sz w:val="22"/>
          <w:szCs w:val="22"/>
        </w:rPr>
        <w:t xml:space="preserve">situação emergencial deixa de ser presumida e deve ser devidamente justificada no processo com base no </w:t>
      </w:r>
      <w:r w:rsidR="00B6749B">
        <w:rPr>
          <w:rFonts w:ascii="Arial" w:hAnsi="Arial" w:cs="Arial"/>
          <w:sz w:val="22"/>
          <w:szCs w:val="22"/>
        </w:rPr>
        <w:t>art. 24, IV, da Lei n. 8.666/93 em caso de dispensa de licitação.</w:t>
      </w:r>
    </w:p>
    <w:p w14:paraId="79B2FD3B" w14:textId="77777777" w:rsidR="00D623BF" w:rsidRDefault="00B6749B" w:rsidP="00D623BF">
      <w:pPr>
        <w:spacing w:before="240"/>
        <w:ind w:firstLine="851"/>
        <w:rPr>
          <w:rFonts w:ascii="Arial" w:hAnsi="Arial" w:cs="Arial"/>
          <w:sz w:val="22"/>
          <w:szCs w:val="22"/>
        </w:rPr>
      </w:pPr>
      <w:r>
        <w:rPr>
          <w:rFonts w:ascii="Arial" w:hAnsi="Arial" w:cs="Arial"/>
          <w:sz w:val="22"/>
          <w:szCs w:val="22"/>
        </w:rPr>
        <w:t>Relembra-se que</w:t>
      </w:r>
      <w:r w:rsidR="00847770">
        <w:rPr>
          <w:rFonts w:ascii="Arial" w:hAnsi="Arial" w:cs="Arial"/>
          <w:sz w:val="22"/>
          <w:szCs w:val="22"/>
        </w:rPr>
        <w:t>,</w:t>
      </w:r>
      <w:r>
        <w:rPr>
          <w:rFonts w:ascii="Arial" w:hAnsi="Arial" w:cs="Arial"/>
          <w:sz w:val="22"/>
          <w:szCs w:val="22"/>
        </w:rPr>
        <w:t xml:space="preserve"> para a</w:t>
      </w:r>
      <w:r w:rsidR="00D623BF">
        <w:rPr>
          <w:rFonts w:ascii="Arial" w:hAnsi="Arial" w:cs="Arial"/>
          <w:sz w:val="22"/>
          <w:szCs w:val="22"/>
        </w:rPr>
        <w:t xml:space="preserve"> dispensa de licitação fundada nas situações de emergência ou de calamidade pública, a</w:t>
      </w:r>
      <w:r w:rsidR="00D623BF" w:rsidRPr="0021268B">
        <w:rPr>
          <w:rFonts w:ascii="Arial" w:hAnsi="Arial" w:cs="Arial"/>
          <w:sz w:val="22"/>
          <w:szCs w:val="22"/>
        </w:rPr>
        <w:t xml:space="preserve"> Lei </w:t>
      </w:r>
      <w:r w:rsidR="00D623BF">
        <w:rPr>
          <w:rFonts w:ascii="Arial" w:hAnsi="Arial" w:cs="Arial"/>
          <w:sz w:val="22"/>
          <w:szCs w:val="22"/>
        </w:rPr>
        <w:t>n.</w:t>
      </w:r>
      <w:r w:rsidR="00D623BF" w:rsidRPr="0021268B">
        <w:rPr>
          <w:rFonts w:ascii="Arial" w:hAnsi="Arial" w:cs="Arial"/>
          <w:sz w:val="22"/>
          <w:szCs w:val="22"/>
        </w:rPr>
        <w:t xml:space="preserve"> 8.666/93 </w:t>
      </w:r>
      <w:r w:rsidR="00D623BF">
        <w:rPr>
          <w:rFonts w:ascii="Arial" w:hAnsi="Arial" w:cs="Arial"/>
          <w:sz w:val="22"/>
          <w:szCs w:val="22"/>
        </w:rPr>
        <w:t>estabelece que:</w:t>
      </w:r>
      <w:r w:rsidR="00D623BF" w:rsidRPr="0021268B">
        <w:rPr>
          <w:rFonts w:ascii="Arial" w:hAnsi="Arial" w:cs="Arial"/>
          <w:sz w:val="22"/>
          <w:szCs w:val="22"/>
        </w:rPr>
        <w:t xml:space="preserve"> </w:t>
      </w:r>
    </w:p>
    <w:p w14:paraId="62A9AF1A" w14:textId="77777777" w:rsidR="00D623BF" w:rsidRDefault="00D623BF" w:rsidP="00D623BF">
      <w:pPr>
        <w:widowControl w:val="0"/>
        <w:autoSpaceDE w:val="0"/>
        <w:autoSpaceDN w:val="0"/>
        <w:adjustRightInd w:val="0"/>
        <w:ind w:left="2268"/>
        <w:rPr>
          <w:rFonts w:ascii="Arial" w:eastAsia="Calibri" w:hAnsi="Arial"/>
          <w:sz w:val="16"/>
          <w:szCs w:val="16"/>
          <w:lang w:val="en-US"/>
        </w:rPr>
      </w:pPr>
    </w:p>
    <w:p w14:paraId="22AF5D3A" w14:textId="77777777" w:rsidR="00B6749B" w:rsidRDefault="00D623BF" w:rsidP="00D623BF">
      <w:pPr>
        <w:widowControl w:val="0"/>
        <w:autoSpaceDE w:val="0"/>
        <w:autoSpaceDN w:val="0"/>
        <w:adjustRightInd w:val="0"/>
        <w:ind w:left="2268"/>
        <w:rPr>
          <w:rFonts w:ascii="Arial" w:eastAsia="Calibri" w:hAnsi="Arial"/>
          <w:sz w:val="16"/>
          <w:szCs w:val="16"/>
          <w:lang w:val="en-US"/>
        </w:rPr>
      </w:pPr>
      <w:r w:rsidRPr="00AD0560">
        <w:rPr>
          <w:rFonts w:ascii="Arial" w:eastAsia="Calibri" w:hAnsi="Arial"/>
          <w:sz w:val="16"/>
          <w:szCs w:val="16"/>
          <w:lang w:val="en-US"/>
        </w:rPr>
        <w:t>Art. 24 É dispensável a licitação:</w:t>
      </w:r>
    </w:p>
    <w:p w14:paraId="67A24FA4" w14:textId="4A99988C" w:rsidR="00261100" w:rsidRDefault="00261100" w:rsidP="00D623BF">
      <w:pPr>
        <w:widowControl w:val="0"/>
        <w:autoSpaceDE w:val="0"/>
        <w:autoSpaceDN w:val="0"/>
        <w:adjustRightInd w:val="0"/>
        <w:ind w:left="2268"/>
        <w:rPr>
          <w:rFonts w:ascii="Arial" w:eastAsia="Calibri" w:hAnsi="Arial"/>
          <w:sz w:val="16"/>
          <w:szCs w:val="16"/>
          <w:lang w:val="en-US"/>
        </w:rPr>
      </w:pPr>
      <w:r>
        <w:rPr>
          <w:rFonts w:ascii="Arial" w:eastAsia="Calibri" w:hAnsi="Arial"/>
          <w:sz w:val="16"/>
          <w:szCs w:val="16"/>
          <w:lang w:val="en-US"/>
        </w:rPr>
        <w:t>(…)</w:t>
      </w:r>
    </w:p>
    <w:p w14:paraId="3C98394F" w14:textId="77777777" w:rsidR="00D623BF" w:rsidRDefault="00D623BF" w:rsidP="00D623BF">
      <w:pPr>
        <w:widowControl w:val="0"/>
        <w:autoSpaceDE w:val="0"/>
        <w:autoSpaceDN w:val="0"/>
        <w:adjustRightInd w:val="0"/>
        <w:ind w:left="2268"/>
        <w:rPr>
          <w:rFonts w:ascii="Arial" w:eastAsia="Calibri" w:hAnsi="Arial"/>
          <w:sz w:val="16"/>
          <w:szCs w:val="16"/>
          <w:lang w:val="en-US"/>
        </w:rPr>
      </w:pPr>
      <w:r w:rsidRPr="00AD0560">
        <w:rPr>
          <w:rFonts w:ascii="Arial" w:eastAsia="Calibri" w:hAnsi="Arial"/>
          <w:sz w:val="16"/>
          <w:szCs w:val="16"/>
          <w:lang w:val="en-US"/>
        </w:rPr>
        <w:t xml:space="preserve">IV - nos casos de emergência ou  de calamidade pública, quando caracterizada urgência de atendimento  de situação que possa ocasionar prejuízo ou comprometer a segurança   de pessoas, obras, serviços, equipamentos e outros bens, públicos ou  particulares, e somente para os bens necessários ao atendimento da    situação emergencial ou calamitosa e para as parcelas de obras e  serviços que possam ser concluídas dentro de 180 (cento e oitenta) dias   consecutivos e ininterruptos, contados da ocorrência da emergência ou   calamidade, vedada a prorrogação dos respectivos contratos. </w:t>
      </w:r>
    </w:p>
    <w:p w14:paraId="36DB713A" w14:textId="77777777" w:rsidR="00D623BF" w:rsidRPr="00AD0560" w:rsidRDefault="00D623BF" w:rsidP="00D623BF">
      <w:pPr>
        <w:widowControl w:val="0"/>
        <w:autoSpaceDE w:val="0"/>
        <w:autoSpaceDN w:val="0"/>
        <w:adjustRightInd w:val="0"/>
        <w:ind w:left="2268"/>
        <w:rPr>
          <w:rFonts w:ascii="Arial" w:eastAsia="Calibri" w:hAnsi="Arial"/>
          <w:sz w:val="16"/>
          <w:szCs w:val="16"/>
          <w:lang w:val="en-US"/>
        </w:rPr>
      </w:pPr>
    </w:p>
    <w:p w14:paraId="1B939CA2" w14:textId="77777777" w:rsidR="00D623BF" w:rsidRDefault="00D623BF" w:rsidP="00D623BF">
      <w:pPr>
        <w:widowControl w:val="0"/>
        <w:autoSpaceDE w:val="0"/>
        <w:autoSpaceDN w:val="0"/>
        <w:adjustRightInd w:val="0"/>
        <w:ind w:left="2268"/>
        <w:rPr>
          <w:rFonts w:ascii="Arial" w:eastAsia="Calibri" w:hAnsi="Arial"/>
          <w:sz w:val="16"/>
          <w:szCs w:val="16"/>
          <w:lang w:val="en-US"/>
        </w:rPr>
      </w:pPr>
      <w:r w:rsidRPr="00AD0560">
        <w:rPr>
          <w:rFonts w:ascii="Arial" w:eastAsia="Calibri" w:hAnsi="Arial"/>
          <w:sz w:val="16"/>
          <w:szCs w:val="16"/>
          <w:lang w:val="en-US"/>
        </w:rPr>
        <w:t xml:space="preserve">Art. 25 [...] </w:t>
      </w:r>
    </w:p>
    <w:p w14:paraId="08ECAF2C" w14:textId="77777777" w:rsidR="00D623BF" w:rsidRDefault="00D623BF" w:rsidP="00D623BF">
      <w:pPr>
        <w:widowControl w:val="0"/>
        <w:autoSpaceDE w:val="0"/>
        <w:autoSpaceDN w:val="0"/>
        <w:adjustRightInd w:val="0"/>
        <w:ind w:left="2268"/>
        <w:rPr>
          <w:rFonts w:ascii="Arial" w:eastAsia="Calibri" w:hAnsi="Arial"/>
          <w:sz w:val="16"/>
          <w:szCs w:val="16"/>
          <w:lang w:val="en-US"/>
        </w:rPr>
      </w:pPr>
      <w:r w:rsidRPr="00AD0560">
        <w:rPr>
          <w:rFonts w:ascii="Arial" w:eastAsia="Calibri" w:hAnsi="Arial"/>
          <w:sz w:val="16"/>
          <w:szCs w:val="16"/>
          <w:lang w:val="en-US"/>
        </w:rPr>
        <w:t xml:space="preserve">§ 2º Na hipótese deste artigo e em qualquer dos casos de dispensa, se comprovado superfaturamento, respondem    solidariamente pelo dano causado à Fazenda Pública o fornecedor ou o prestador de serviços e o agente público responsável, sem prejuízo de outras sanções legais cabíveis. </w:t>
      </w:r>
    </w:p>
    <w:p w14:paraId="7B08E6EC" w14:textId="77777777" w:rsidR="00D623BF" w:rsidRPr="00AD0560" w:rsidRDefault="00D623BF" w:rsidP="00D623BF">
      <w:pPr>
        <w:widowControl w:val="0"/>
        <w:autoSpaceDE w:val="0"/>
        <w:autoSpaceDN w:val="0"/>
        <w:adjustRightInd w:val="0"/>
        <w:ind w:left="2268"/>
        <w:rPr>
          <w:rFonts w:ascii="Arial" w:eastAsia="Calibri" w:hAnsi="Arial"/>
          <w:sz w:val="16"/>
          <w:szCs w:val="16"/>
          <w:lang w:val="en-US"/>
        </w:rPr>
      </w:pPr>
    </w:p>
    <w:p w14:paraId="1F8FF7ED" w14:textId="77777777" w:rsidR="00D623BF" w:rsidRDefault="00D623BF" w:rsidP="00D623BF">
      <w:pPr>
        <w:widowControl w:val="0"/>
        <w:autoSpaceDE w:val="0"/>
        <w:autoSpaceDN w:val="0"/>
        <w:adjustRightInd w:val="0"/>
        <w:ind w:left="2268"/>
        <w:rPr>
          <w:rFonts w:ascii="Arial" w:eastAsia="Calibri" w:hAnsi="Arial"/>
          <w:sz w:val="16"/>
          <w:szCs w:val="16"/>
          <w:lang w:val="en-US"/>
        </w:rPr>
      </w:pPr>
      <w:r w:rsidRPr="00AD0560">
        <w:rPr>
          <w:rFonts w:ascii="Arial" w:eastAsia="Calibri" w:hAnsi="Arial"/>
          <w:sz w:val="16"/>
          <w:szCs w:val="16"/>
          <w:lang w:val="en-US"/>
        </w:rPr>
        <w:t xml:space="preserve">Art.  26 As dispensas previstas nos §§ 2º e 4º do art. 17 e no inc. III e seguintes do art. 24, as situações de inexigibilidade referidas no art.  25, necessariamente justificadas (...) deverão ser comunicadas, dentro de 3 (três) dias, à autoridade superior, para ratificação e publicação na imprensa oficial, no prazo de 5 (cinco) dias, como condição para a eficácia dos atos. (...). </w:t>
      </w:r>
    </w:p>
    <w:p w14:paraId="7127133D" w14:textId="77777777" w:rsidR="00D623BF" w:rsidRDefault="00D623BF" w:rsidP="00D623BF">
      <w:pPr>
        <w:widowControl w:val="0"/>
        <w:autoSpaceDE w:val="0"/>
        <w:autoSpaceDN w:val="0"/>
        <w:adjustRightInd w:val="0"/>
        <w:ind w:left="2268"/>
        <w:rPr>
          <w:rFonts w:ascii="Arial" w:eastAsia="Calibri" w:hAnsi="Arial"/>
          <w:sz w:val="16"/>
          <w:szCs w:val="16"/>
          <w:lang w:val="en-US"/>
        </w:rPr>
      </w:pPr>
    </w:p>
    <w:p w14:paraId="031A0AB1" w14:textId="77777777" w:rsidR="00D623BF" w:rsidRPr="00AD0560" w:rsidRDefault="00D623BF" w:rsidP="00D623BF">
      <w:pPr>
        <w:widowControl w:val="0"/>
        <w:autoSpaceDE w:val="0"/>
        <w:autoSpaceDN w:val="0"/>
        <w:adjustRightInd w:val="0"/>
        <w:ind w:left="2268"/>
        <w:rPr>
          <w:rFonts w:ascii="Arial" w:eastAsia="Calibri" w:hAnsi="Arial"/>
          <w:sz w:val="16"/>
          <w:szCs w:val="16"/>
          <w:lang w:val="en-US"/>
        </w:rPr>
      </w:pPr>
      <w:r w:rsidRPr="00AD0560">
        <w:rPr>
          <w:rFonts w:ascii="Arial" w:eastAsia="Calibri" w:hAnsi="Arial"/>
          <w:sz w:val="16"/>
          <w:szCs w:val="16"/>
          <w:lang w:val="en-US"/>
        </w:rPr>
        <w:t>Parágrafo únic</w:t>
      </w:r>
      <w:r>
        <w:rPr>
          <w:rFonts w:ascii="Arial" w:eastAsia="Calibri" w:hAnsi="Arial"/>
          <w:sz w:val="16"/>
          <w:szCs w:val="16"/>
          <w:lang w:val="en-US"/>
        </w:rPr>
        <w:t xml:space="preserve">o. O processo de dispensa, de  </w:t>
      </w:r>
      <w:r w:rsidRPr="00AD0560">
        <w:rPr>
          <w:rFonts w:ascii="Arial" w:eastAsia="Calibri" w:hAnsi="Arial"/>
          <w:sz w:val="16"/>
          <w:szCs w:val="16"/>
          <w:lang w:val="en-US"/>
        </w:rPr>
        <w:t>inexigibilidade ou de retardamento, previsto neste artigo, será instruído, no que couber, com os seguintes el</w:t>
      </w:r>
      <w:r>
        <w:rPr>
          <w:rFonts w:ascii="Arial" w:eastAsia="Calibri" w:hAnsi="Arial"/>
          <w:sz w:val="16"/>
          <w:szCs w:val="16"/>
          <w:lang w:val="en-US"/>
        </w:rPr>
        <w:t xml:space="preserve">ementos: I - caracterização da </w:t>
      </w:r>
      <w:r w:rsidRPr="00AD0560">
        <w:rPr>
          <w:rFonts w:ascii="Arial" w:eastAsia="Calibri" w:hAnsi="Arial"/>
          <w:sz w:val="16"/>
          <w:szCs w:val="16"/>
          <w:lang w:val="en-US"/>
        </w:rPr>
        <w:t xml:space="preserve">situação emergencial, calamitosa ou de grave e iminente risco à  segurança pública que justifique a dispensa, quando for o caso;  (Redação dada pela Lei nº 13.500, de 2017); II - razão da escolha do fornecedor ou executante; III - justificativa do preço; IV - documento de aprovação dos projetos de pesquisa aos quais os bens serão alocados. </w:t>
      </w:r>
    </w:p>
    <w:p w14:paraId="1918E1C6" w14:textId="1324B4EF" w:rsidR="00D623BF" w:rsidRDefault="00261100" w:rsidP="00D623BF">
      <w:pPr>
        <w:spacing w:before="240"/>
        <w:ind w:firstLine="851"/>
        <w:rPr>
          <w:rFonts w:ascii="Arial" w:hAnsi="Arial" w:cs="Arial"/>
          <w:sz w:val="22"/>
          <w:szCs w:val="22"/>
        </w:rPr>
      </w:pPr>
      <w:r>
        <w:rPr>
          <w:rFonts w:ascii="Arial" w:hAnsi="Arial" w:cs="Arial"/>
          <w:sz w:val="22"/>
          <w:szCs w:val="22"/>
        </w:rPr>
        <w:lastRenderedPageBreak/>
        <w:t>Salienta-se</w:t>
      </w:r>
      <w:r w:rsidR="00D623BF">
        <w:rPr>
          <w:rFonts w:ascii="Arial" w:hAnsi="Arial" w:cs="Arial"/>
          <w:sz w:val="22"/>
          <w:szCs w:val="22"/>
        </w:rPr>
        <w:t>,</w:t>
      </w:r>
      <w:r>
        <w:rPr>
          <w:rFonts w:ascii="Arial" w:hAnsi="Arial" w:cs="Arial"/>
          <w:sz w:val="22"/>
          <w:szCs w:val="22"/>
        </w:rPr>
        <w:t xml:space="preserve"> ainda, que</w:t>
      </w:r>
      <w:r w:rsidR="00D623BF">
        <w:rPr>
          <w:rFonts w:ascii="Arial" w:hAnsi="Arial" w:cs="Arial"/>
          <w:sz w:val="22"/>
          <w:szCs w:val="22"/>
        </w:rPr>
        <w:t xml:space="preserve"> a prorrogação de prazo contratual ou a realização de aditivo de 50% com base nos arts. 4</w:t>
      </w:r>
      <w:r w:rsidR="00D623BF" w:rsidRPr="00AB5AAA">
        <w:rPr>
          <w:rFonts w:ascii="Arial" w:hAnsi="Arial" w:cs="Arial"/>
          <w:sz w:val="22"/>
          <w:szCs w:val="22"/>
          <w:vertAlign w:val="superscript"/>
        </w:rPr>
        <w:t>o</w:t>
      </w:r>
      <w:r w:rsidR="00D623BF">
        <w:rPr>
          <w:rFonts w:ascii="Arial" w:hAnsi="Arial" w:cs="Arial"/>
          <w:sz w:val="22"/>
          <w:szCs w:val="22"/>
        </w:rPr>
        <w:t>-H e 4</w:t>
      </w:r>
      <w:r w:rsidR="00D623BF" w:rsidRPr="009B5D73">
        <w:rPr>
          <w:rFonts w:ascii="Arial" w:hAnsi="Arial" w:cs="Arial"/>
          <w:sz w:val="22"/>
          <w:szCs w:val="22"/>
          <w:vertAlign w:val="superscript"/>
        </w:rPr>
        <w:t>o</w:t>
      </w:r>
      <w:r w:rsidR="00D623BF">
        <w:rPr>
          <w:rFonts w:ascii="Arial" w:hAnsi="Arial" w:cs="Arial"/>
          <w:sz w:val="22"/>
          <w:szCs w:val="22"/>
        </w:rPr>
        <w:t xml:space="preserve">-I da Lei 13.979/2020 não são mais possíveis, </w:t>
      </w:r>
      <w:r w:rsidR="00B6749B">
        <w:rPr>
          <w:rFonts w:ascii="Arial" w:hAnsi="Arial" w:cs="Arial"/>
          <w:sz w:val="22"/>
          <w:szCs w:val="22"/>
        </w:rPr>
        <w:t xml:space="preserve">devendo-se </w:t>
      </w:r>
      <w:r>
        <w:rPr>
          <w:rFonts w:ascii="Arial" w:hAnsi="Arial" w:cs="Arial"/>
          <w:sz w:val="22"/>
          <w:szCs w:val="22"/>
        </w:rPr>
        <w:t xml:space="preserve">no entanto </w:t>
      </w:r>
      <w:r w:rsidR="00B6749B">
        <w:rPr>
          <w:rFonts w:ascii="Arial" w:hAnsi="Arial" w:cs="Arial"/>
          <w:sz w:val="22"/>
          <w:szCs w:val="22"/>
        </w:rPr>
        <w:t>respeitar</w:t>
      </w:r>
      <w:r w:rsidR="00D623BF">
        <w:rPr>
          <w:rFonts w:ascii="Arial" w:hAnsi="Arial" w:cs="Arial"/>
          <w:sz w:val="22"/>
          <w:szCs w:val="22"/>
        </w:rPr>
        <w:t xml:space="preserve"> os prazos já pactuados. </w:t>
      </w:r>
    </w:p>
    <w:p w14:paraId="6A9A289E" w14:textId="46679978" w:rsidR="00D623BF" w:rsidRDefault="00261100" w:rsidP="00D623BF">
      <w:pPr>
        <w:spacing w:before="240"/>
        <w:ind w:firstLine="851"/>
        <w:rPr>
          <w:rFonts w:ascii="Arial" w:hAnsi="Arial" w:cs="Arial"/>
          <w:sz w:val="22"/>
          <w:szCs w:val="22"/>
        </w:rPr>
      </w:pPr>
      <w:r>
        <w:rPr>
          <w:rFonts w:ascii="Arial" w:hAnsi="Arial" w:cs="Arial"/>
          <w:sz w:val="22"/>
          <w:szCs w:val="22"/>
        </w:rPr>
        <w:t>Além disso, o</w:t>
      </w:r>
      <w:r w:rsidR="00D623BF">
        <w:rPr>
          <w:rFonts w:ascii="Arial" w:hAnsi="Arial" w:cs="Arial"/>
          <w:sz w:val="22"/>
          <w:szCs w:val="22"/>
        </w:rPr>
        <w:t xml:space="preserve">s procedimentos de pregão eletrônico para os quais houve a publicação de edital após 31/12/2020 não contam mais com os prazos reduzidos previstos na Lei n. 13.979/2020. </w:t>
      </w:r>
    </w:p>
    <w:p w14:paraId="37153560" w14:textId="77777777" w:rsidR="00D623BF" w:rsidRDefault="00D623BF" w:rsidP="00D623BF">
      <w:pPr>
        <w:spacing w:before="240"/>
        <w:ind w:firstLine="851"/>
        <w:rPr>
          <w:rFonts w:ascii="Arial" w:hAnsi="Arial" w:cs="Arial"/>
          <w:sz w:val="22"/>
          <w:szCs w:val="22"/>
        </w:rPr>
      </w:pPr>
      <w:r w:rsidRPr="00804A86">
        <w:rPr>
          <w:rFonts w:ascii="Arial" w:hAnsi="Arial" w:cs="Arial"/>
          <w:sz w:val="22"/>
          <w:szCs w:val="22"/>
        </w:rPr>
        <w:t>As atas de registro de preços, por possu</w:t>
      </w:r>
      <w:r>
        <w:rPr>
          <w:rFonts w:ascii="Arial" w:hAnsi="Arial" w:cs="Arial"/>
          <w:sz w:val="22"/>
          <w:szCs w:val="22"/>
        </w:rPr>
        <w:t>írem validade vinculada à Lei n.</w:t>
      </w:r>
      <w:r w:rsidRPr="00804A86">
        <w:rPr>
          <w:rFonts w:ascii="Arial" w:hAnsi="Arial" w:cs="Arial"/>
          <w:sz w:val="22"/>
          <w:szCs w:val="22"/>
        </w:rPr>
        <w:t xml:space="preserve"> 13.979/20, deverão ser objeto de cancelamento, pois, embora tenham pro</w:t>
      </w:r>
      <w:r>
        <w:rPr>
          <w:rFonts w:ascii="Arial" w:hAnsi="Arial" w:cs="Arial"/>
          <w:sz w:val="22"/>
          <w:szCs w:val="22"/>
        </w:rPr>
        <w:t>cedimento fundamentado na Lei n.</w:t>
      </w:r>
      <w:r w:rsidRPr="00804A86">
        <w:rPr>
          <w:rFonts w:ascii="Arial" w:hAnsi="Arial" w:cs="Arial"/>
          <w:sz w:val="22"/>
          <w:szCs w:val="22"/>
        </w:rPr>
        <w:t xml:space="preserve"> 8.666/93, perderão a possibilidade de gerar contratos com base na legislação específica.</w:t>
      </w:r>
    </w:p>
    <w:p w14:paraId="43AD8701" w14:textId="77777777" w:rsidR="00D623BF" w:rsidRDefault="00D623BF" w:rsidP="00D623BF">
      <w:pPr>
        <w:spacing w:before="240"/>
        <w:ind w:firstLine="851"/>
        <w:rPr>
          <w:rFonts w:ascii="Arial" w:hAnsi="Arial" w:cs="Arial"/>
          <w:sz w:val="22"/>
          <w:szCs w:val="22"/>
        </w:rPr>
      </w:pPr>
      <w:r>
        <w:rPr>
          <w:rFonts w:ascii="Arial" w:hAnsi="Arial" w:cs="Arial"/>
          <w:sz w:val="22"/>
          <w:szCs w:val="22"/>
        </w:rPr>
        <w:t>Nesse sentido, a Nota Técnica n. 0003/202/CNMLC/AGU</w:t>
      </w:r>
      <w:r w:rsidR="00B6749B">
        <w:rPr>
          <w:rFonts w:ascii="Arial" w:hAnsi="Arial" w:cs="Arial"/>
          <w:sz w:val="22"/>
          <w:szCs w:val="22"/>
        </w:rPr>
        <w:t>,</w:t>
      </w:r>
      <w:r>
        <w:rPr>
          <w:rFonts w:ascii="Arial" w:hAnsi="Arial" w:cs="Arial"/>
          <w:sz w:val="22"/>
          <w:szCs w:val="22"/>
        </w:rPr>
        <w:t xml:space="preserve"> publicada </w:t>
      </w:r>
      <w:r w:rsidR="00B6749B">
        <w:rPr>
          <w:rFonts w:ascii="Arial" w:hAnsi="Arial" w:cs="Arial"/>
          <w:sz w:val="22"/>
          <w:szCs w:val="22"/>
        </w:rPr>
        <w:t xml:space="preserve">em 31/08/2020 </w:t>
      </w:r>
      <w:r>
        <w:rPr>
          <w:rFonts w:ascii="Arial" w:hAnsi="Arial" w:cs="Arial"/>
          <w:sz w:val="22"/>
          <w:szCs w:val="22"/>
        </w:rPr>
        <w:t>pela Advocacia</w:t>
      </w:r>
      <w:r w:rsidR="00B6749B">
        <w:rPr>
          <w:rFonts w:ascii="Arial" w:hAnsi="Arial" w:cs="Arial"/>
          <w:sz w:val="22"/>
          <w:szCs w:val="22"/>
        </w:rPr>
        <w:t>-</w:t>
      </w:r>
      <w:r>
        <w:rPr>
          <w:rFonts w:ascii="Arial" w:hAnsi="Arial" w:cs="Arial"/>
          <w:sz w:val="22"/>
          <w:szCs w:val="22"/>
        </w:rPr>
        <w:t>Geral da União</w:t>
      </w:r>
      <w:r w:rsidR="00B6749B">
        <w:rPr>
          <w:rFonts w:ascii="Arial" w:hAnsi="Arial" w:cs="Arial"/>
          <w:sz w:val="22"/>
          <w:szCs w:val="22"/>
        </w:rPr>
        <w:t>,</w:t>
      </w:r>
      <w:r>
        <w:rPr>
          <w:rFonts w:ascii="Arial" w:hAnsi="Arial" w:cs="Arial"/>
          <w:sz w:val="22"/>
          <w:szCs w:val="22"/>
        </w:rPr>
        <w:t xml:space="preserve"> esclarece que:</w:t>
      </w:r>
    </w:p>
    <w:p w14:paraId="7321171D" w14:textId="77777777" w:rsidR="00D623BF" w:rsidRDefault="00D623BF" w:rsidP="00D623BF">
      <w:pPr>
        <w:widowControl w:val="0"/>
        <w:autoSpaceDE w:val="0"/>
        <w:autoSpaceDN w:val="0"/>
        <w:adjustRightInd w:val="0"/>
        <w:ind w:left="2268"/>
        <w:rPr>
          <w:rFonts w:ascii="Arial" w:eastAsia="Calibri" w:hAnsi="Arial"/>
          <w:sz w:val="16"/>
          <w:szCs w:val="16"/>
          <w:lang w:val="en-US"/>
        </w:rPr>
      </w:pPr>
    </w:p>
    <w:p w14:paraId="5780A700" w14:textId="77777777" w:rsidR="00D623BF" w:rsidRDefault="00D623BF" w:rsidP="00D623BF">
      <w:pPr>
        <w:widowControl w:val="0"/>
        <w:autoSpaceDE w:val="0"/>
        <w:autoSpaceDN w:val="0"/>
        <w:adjustRightInd w:val="0"/>
        <w:ind w:left="2268"/>
        <w:rPr>
          <w:rFonts w:ascii="Arial" w:eastAsia="Calibri" w:hAnsi="Arial"/>
          <w:sz w:val="16"/>
          <w:szCs w:val="16"/>
          <w:lang w:val="en-US"/>
        </w:rPr>
      </w:pPr>
      <w:r w:rsidRPr="00DB09BC">
        <w:rPr>
          <w:rFonts w:ascii="Arial" w:eastAsia="Calibri" w:hAnsi="Arial"/>
          <w:sz w:val="16"/>
          <w:szCs w:val="16"/>
          <w:lang w:val="en-US"/>
        </w:rPr>
        <w:t>7. Encerrada a vigência da Lei nº 13.979/20, não mais será possível o uso da Ata de Registro de Preços para a celebração de novos contratos fundados na referida lei.  Não se trata propriamente de perda do fundamento jurídico da Ata de Registro de Preços,</w:t>
      </w:r>
      <w:r>
        <w:rPr>
          <w:rFonts w:ascii="Arial" w:eastAsia="Calibri" w:hAnsi="Arial"/>
          <w:sz w:val="16"/>
          <w:szCs w:val="16"/>
          <w:lang w:val="en-US"/>
        </w:rPr>
        <w:t xml:space="preserve"> mas de sua utilidade prática, </w:t>
      </w:r>
      <w:r w:rsidRPr="00DB09BC">
        <w:rPr>
          <w:rFonts w:ascii="Arial" w:eastAsia="Calibri" w:hAnsi="Arial"/>
          <w:sz w:val="16"/>
          <w:szCs w:val="16"/>
          <w:lang w:val="en-US"/>
        </w:rPr>
        <w:t>pois embora ela seja fundada estritamente no Decreto nº 7.892/13 e na Lei nº 8.666/93 como regra geral, como os contratos são fundados na Lei nº 13.979/20, a Ata não será mais apta ao seu fim de gerar mais contratos e, sem qualquer utilidade, deve, da mesma forma, ser objeto de cancelamento, modificando-se, apenas o fundamento.</w:t>
      </w:r>
    </w:p>
    <w:p w14:paraId="7D938164" w14:textId="529ACF3F" w:rsidR="00D623BF" w:rsidRPr="00DB09BC" w:rsidRDefault="00D623BF" w:rsidP="00D623BF">
      <w:pPr>
        <w:spacing w:before="240"/>
        <w:ind w:firstLine="851"/>
        <w:rPr>
          <w:rFonts w:ascii="Arial" w:hAnsi="Arial" w:cs="Arial"/>
          <w:sz w:val="22"/>
          <w:szCs w:val="22"/>
        </w:rPr>
      </w:pPr>
      <w:r>
        <w:rPr>
          <w:rFonts w:ascii="Arial" w:hAnsi="Arial" w:cs="Arial"/>
          <w:sz w:val="22"/>
          <w:szCs w:val="22"/>
        </w:rPr>
        <w:t xml:space="preserve">Destaca-se, ainda, que </w:t>
      </w:r>
      <w:r w:rsidRPr="00261100">
        <w:rPr>
          <w:rFonts w:ascii="Arial" w:hAnsi="Arial" w:cs="Arial"/>
          <w:b/>
          <w:sz w:val="22"/>
          <w:szCs w:val="22"/>
        </w:rPr>
        <w:t xml:space="preserve">o gerenciamento de riscos na fase pré-contratual não é mais </w:t>
      </w:r>
      <w:r w:rsidR="00261100" w:rsidRPr="00261100">
        <w:rPr>
          <w:rFonts w:ascii="Arial" w:hAnsi="Arial" w:cs="Arial"/>
          <w:b/>
          <w:sz w:val="22"/>
          <w:szCs w:val="22"/>
        </w:rPr>
        <w:t>apenas uma opção para o órgão ou entidade contratante</w:t>
      </w:r>
      <w:r>
        <w:rPr>
          <w:rFonts w:ascii="Arial" w:hAnsi="Arial" w:cs="Arial"/>
          <w:sz w:val="22"/>
          <w:szCs w:val="22"/>
        </w:rPr>
        <w:t>, assim como a elaboração de estudos técnicos preliminares</w:t>
      </w:r>
      <w:r w:rsidR="00261100">
        <w:rPr>
          <w:rFonts w:ascii="Arial" w:hAnsi="Arial" w:cs="Arial"/>
          <w:sz w:val="22"/>
          <w:szCs w:val="22"/>
        </w:rPr>
        <w:t xml:space="preserve"> sobre o objeto da contratação não são mais dispensados.</w:t>
      </w:r>
    </w:p>
    <w:p w14:paraId="1ED7C3BB" w14:textId="77777777" w:rsidR="00D623BF" w:rsidRPr="0021268B" w:rsidRDefault="00D623BF" w:rsidP="00D623BF">
      <w:pPr>
        <w:spacing w:before="240"/>
        <w:ind w:firstLine="851"/>
        <w:rPr>
          <w:rFonts w:ascii="Arial" w:hAnsi="Arial" w:cs="Arial"/>
          <w:sz w:val="22"/>
          <w:szCs w:val="22"/>
        </w:rPr>
      </w:pPr>
      <w:r>
        <w:rPr>
          <w:rFonts w:ascii="Arial" w:hAnsi="Arial" w:cs="Arial"/>
          <w:sz w:val="22"/>
          <w:szCs w:val="22"/>
        </w:rPr>
        <w:t>Por fim, não há mais flexibilização sobre os requisitos exigidos para a habilitação de fornecedores, e o termo de referência ou projeto básico devem ser apresentados de forma completa, e não mais simplificada.</w:t>
      </w:r>
    </w:p>
    <w:p w14:paraId="567C8DB6" w14:textId="531BDEEE" w:rsidR="00D623BF" w:rsidRPr="002865D5" w:rsidRDefault="00D623BF" w:rsidP="00D623BF">
      <w:pPr>
        <w:pStyle w:val="PargrafodaLista"/>
        <w:numPr>
          <w:ilvl w:val="0"/>
          <w:numId w:val="1"/>
        </w:numPr>
        <w:spacing w:before="240"/>
        <w:rPr>
          <w:rFonts w:ascii="Arial" w:hAnsi="Arial" w:cs="Arial"/>
          <w:b/>
          <w:sz w:val="22"/>
          <w:szCs w:val="22"/>
        </w:rPr>
      </w:pPr>
      <w:r w:rsidRPr="00F17616">
        <w:rPr>
          <w:rFonts w:ascii="Arial" w:hAnsi="Arial" w:cs="Arial"/>
          <w:b/>
          <w:sz w:val="22"/>
          <w:szCs w:val="22"/>
        </w:rPr>
        <w:t xml:space="preserve">Aquisições relacionadas à vacinação contra a COVID-19 </w:t>
      </w:r>
      <w:r w:rsidRPr="002865D5">
        <w:rPr>
          <w:rFonts w:ascii="Arial" w:hAnsi="Arial" w:cs="Arial"/>
          <w:b/>
          <w:sz w:val="22"/>
          <w:szCs w:val="22"/>
        </w:rPr>
        <w:t>(</w:t>
      </w:r>
      <w:r w:rsidR="002B5183" w:rsidRPr="002865D5">
        <w:rPr>
          <w:rFonts w:ascii="Arial" w:hAnsi="Arial" w:cs="Arial"/>
          <w:sz w:val="22"/>
          <w:szCs w:val="22"/>
        </w:rPr>
        <w:t>Lei n. 14.124/2021</w:t>
      </w:r>
      <w:r w:rsidRPr="002865D5">
        <w:rPr>
          <w:rFonts w:ascii="Arial" w:hAnsi="Arial" w:cs="Arial"/>
          <w:b/>
          <w:sz w:val="22"/>
          <w:szCs w:val="22"/>
        </w:rPr>
        <w:t>)</w:t>
      </w:r>
    </w:p>
    <w:p w14:paraId="0355627A" w14:textId="6F442F18" w:rsidR="00D623BF" w:rsidRPr="002865D5" w:rsidRDefault="00D623BF" w:rsidP="00D623BF">
      <w:pPr>
        <w:spacing w:before="240"/>
        <w:ind w:firstLine="851"/>
        <w:rPr>
          <w:rFonts w:ascii="Arial" w:hAnsi="Arial" w:cs="Arial"/>
          <w:b/>
          <w:sz w:val="22"/>
          <w:szCs w:val="22"/>
        </w:rPr>
      </w:pPr>
      <w:r w:rsidRPr="002865D5">
        <w:rPr>
          <w:rFonts w:ascii="Arial" w:hAnsi="Arial" w:cs="Arial"/>
          <w:sz w:val="22"/>
          <w:szCs w:val="22"/>
        </w:rPr>
        <w:t xml:space="preserve">Apesar da perda de vigência da Lei n. 13.979/2020, a Medida Provisória n. 1.026, de 06/01/2021, </w:t>
      </w:r>
      <w:r w:rsidR="002B5183" w:rsidRPr="002865D5">
        <w:rPr>
          <w:rFonts w:ascii="Arial" w:hAnsi="Arial" w:cs="Arial"/>
          <w:sz w:val="22"/>
          <w:szCs w:val="22"/>
        </w:rPr>
        <w:t xml:space="preserve">convertida na Lei n. 14.124, de 10/03/2021, </w:t>
      </w:r>
      <w:r w:rsidR="00847770" w:rsidRPr="002865D5">
        <w:rPr>
          <w:rFonts w:ascii="Arial" w:hAnsi="Arial" w:cs="Arial"/>
          <w:sz w:val="22"/>
          <w:szCs w:val="22"/>
        </w:rPr>
        <w:t>prevê</w:t>
      </w:r>
      <w:r w:rsidRPr="002865D5">
        <w:rPr>
          <w:rFonts w:ascii="Arial" w:hAnsi="Arial" w:cs="Arial"/>
          <w:sz w:val="22"/>
          <w:szCs w:val="22"/>
        </w:rPr>
        <w:t xml:space="preserve"> medidas excepcionais relativas à aquisição de </w:t>
      </w:r>
      <w:r w:rsidRPr="002865D5">
        <w:rPr>
          <w:rFonts w:ascii="Arial" w:hAnsi="Arial" w:cs="Arial"/>
          <w:b/>
          <w:sz w:val="22"/>
          <w:szCs w:val="22"/>
        </w:rPr>
        <w:t xml:space="preserve">vacinas, insumos, bens e serviços de logística, tecnologia da informação e comunicação, comunicação social e publicitária e treinamentos destinados à vacinação contra a COVID-19. </w:t>
      </w:r>
    </w:p>
    <w:p w14:paraId="7DAF903F" w14:textId="38A62C8C" w:rsidR="00D623BF" w:rsidRPr="002865D5" w:rsidRDefault="00D623BF" w:rsidP="00D623BF">
      <w:pPr>
        <w:spacing w:before="240"/>
        <w:ind w:firstLine="851"/>
        <w:rPr>
          <w:rFonts w:ascii="Arial" w:hAnsi="Arial" w:cs="Arial"/>
          <w:sz w:val="22"/>
          <w:szCs w:val="22"/>
        </w:rPr>
      </w:pPr>
      <w:r w:rsidRPr="002865D5">
        <w:rPr>
          <w:rFonts w:ascii="Arial" w:hAnsi="Arial" w:cs="Arial"/>
          <w:sz w:val="22"/>
          <w:szCs w:val="22"/>
        </w:rPr>
        <w:t xml:space="preserve">As medidas excepcionais </w:t>
      </w:r>
      <w:r w:rsidR="00847770" w:rsidRPr="002865D5">
        <w:rPr>
          <w:rFonts w:ascii="Arial" w:hAnsi="Arial" w:cs="Arial"/>
          <w:sz w:val="22"/>
          <w:szCs w:val="22"/>
        </w:rPr>
        <w:t>estabelecidas pela</w:t>
      </w:r>
      <w:r w:rsidRPr="002865D5">
        <w:rPr>
          <w:rFonts w:ascii="Arial" w:hAnsi="Arial" w:cs="Arial"/>
          <w:sz w:val="22"/>
          <w:szCs w:val="22"/>
        </w:rPr>
        <w:t xml:space="preserve"> </w:t>
      </w:r>
      <w:r w:rsidR="001E10E2" w:rsidRPr="002865D5">
        <w:rPr>
          <w:rFonts w:ascii="Arial" w:hAnsi="Arial" w:cs="Arial"/>
          <w:sz w:val="22"/>
          <w:szCs w:val="22"/>
        </w:rPr>
        <w:t xml:space="preserve">Lei n. 14.124/2021 </w:t>
      </w:r>
      <w:r w:rsidRPr="002865D5">
        <w:rPr>
          <w:rFonts w:ascii="Arial" w:hAnsi="Arial" w:cs="Arial"/>
          <w:sz w:val="22"/>
          <w:szCs w:val="22"/>
        </w:rPr>
        <w:t xml:space="preserve">são similares às regras dispostas na Lei n. 13.979/2020, </w:t>
      </w:r>
      <w:r w:rsidRPr="002865D5">
        <w:rPr>
          <w:rFonts w:ascii="Arial" w:hAnsi="Arial" w:cs="Arial"/>
          <w:b/>
          <w:sz w:val="22"/>
          <w:szCs w:val="22"/>
        </w:rPr>
        <w:t>mas devem guardar vinculação estrita com a vacinação contra a COVID-19.</w:t>
      </w:r>
    </w:p>
    <w:p w14:paraId="533DCE5A" w14:textId="6A07975F" w:rsidR="00D623BF" w:rsidRDefault="00D623BF" w:rsidP="00D623BF">
      <w:pPr>
        <w:spacing w:before="240"/>
        <w:ind w:firstLine="851"/>
        <w:rPr>
          <w:rFonts w:ascii="Arial" w:hAnsi="Arial" w:cs="Arial"/>
          <w:sz w:val="22"/>
          <w:szCs w:val="22"/>
        </w:rPr>
      </w:pPr>
      <w:r w:rsidRPr="002865D5">
        <w:rPr>
          <w:rFonts w:ascii="Arial" w:hAnsi="Arial" w:cs="Arial"/>
          <w:sz w:val="22"/>
          <w:szCs w:val="22"/>
        </w:rPr>
        <w:t xml:space="preserve">Assim, no que diz respeito aos processos de aquisição e de contratação de bens e serviços relacionados à vacinação contra a COVID-19, a </w:t>
      </w:r>
      <w:r w:rsidR="001E10E2" w:rsidRPr="002865D5">
        <w:rPr>
          <w:rFonts w:ascii="Arial" w:hAnsi="Arial" w:cs="Arial"/>
          <w:sz w:val="22"/>
          <w:szCs w:val="22"/>
        </w:rPr>
        <w:t xml:space="preserve">Lei n. 14.124/2021 </w:t>
      </w:r>
      <w:r w:rsidR="00793A11" w:rsidRPr="002865D5">
        <w:rPr>
          <w:rFonts w:ascii="Arial" w:hAnsi="Arial" w:cs="Arial"/>
          <w:sz w:val="22"/>
          <w:szCs w:val="22"/>
        </w:rPr>
        <w:t xml:space="preserve">estabelece </w:t>
      </w:r>
      <w:r w:rsidR="00793A11">
        <w:rPr>
          <w:rFonts w:ascii="Arial" w:hAnsi="Arial" w:cs="Arial"/>
          <w:sz w:val="22"/>
          <w:szCs w:val="22"/>
        </w:rPr>
        <w:t>que</w:t>
      </w:r>
      <w:r>
        <w:rPr>
          <w:rFonts w:ascii="Arial" w:hAnsi="Arial" w:cs="Arial"/>
          <w:sz w:val="22"/>
          <w:szCs w:val="22"/>
        </w:rPr>
        <w:t>:</w:t>
      </w:r>
    </w:p>
    <w:p w14:paraId="05224138" w14:textId="77777777" w:rsidR="00D623BF" w:rsidRDefault="00D623BF" w:rsidP="00D623BF">
      <w:pPr>
        <w:widowControl w:val="0"/>
        <w:autoSpaceDE w:val="0"/>
        <w:autoSpaceDN w:val="0"/>
        <w:adjustRightInd w:val="0"/>
        <w:ind w:left="2268"/>
        <w:rPr>
          <w:rFonts w:ascii="Arial" w:eastAsia="Calibri" w:hAnsi="Arial"/>
          <w:sz w:val="16"/>
          <w:szCs w:val="16"/>
          <w:lang w:val="en-US"/>
        </w:rPr>
      </w:pPr>
    </w:p>
    <w:p w14:paraId="6093EA45" w14:textId="0255D7CF" w:rsidR="004601AA" w:rsidRP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Art. 2º Fica a administração pública direta e indireta autorizada a celebrar contratos ou outros instrumentos congêneres, com dispensa de licitação, para:</w:t>
      </w:r>
    </w:p>
    <w:p w14:paraId="73C383B8"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I - a aquisição de vacinas e de insumos destinados à vacinação contra a covid-19, inclusive antes do registro sanitário ou da autorização temporária de uso emergencial; e</w:t>
      </w:r>
    </w:p>
    <w:p w14:paraId="2EA12AF2" w14:textId="77777777" w:rsid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II - a contratação de bens e serviços de logística, de tecnologia da informação e comunicação, de comunicação social e publicitária, de treinamentos e de outros bens e serviços necessários à implementação da vacinação contra a covid-19.</w:t>
      </w:r>
    </w:p>
    <w:p w14:paraId="258F37A1"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p>
    <w:p w14:paraId="77F95E8D" w14:textId="77777777" w:rsid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 1º A dispensa da realização de licitação para a celebração de contratos ou de instrumentos congêneres de que trata o caput deste artigo não afasta a necessidade de processo administrativo que contenha os elementos técnicos referentes à escolha da opção de contratação e à justificativa do preço ajustado.</w:t>
      </w:r>
    </w:p>
    <w:p w14:paraId="10127D7C"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p>
    <w:p w14:paraId="34AD42DB" w14:textId="77777777" w:rsid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 2º Serão conferidas ampla transparência e publicidade a todas as aquisições ou contratações realizadas nos termos desta Lei, no prazo máximo de 5 (cinco) dias úteis, contado da data da realização do ato, em sítio oficial na internet, observados, no que couber, os requisitos previstos no</w:t>
      </w:r>
      <w:hyperlink r:id="rId7" w:anchor="art8%C2%A73" w:history="1">
        <w:r w:rsidRPr="004601AA">
          <w:rPr>
            <w:rFonts w:eastAsia="Calibri"/>
            <w:sz w:val="16"/>
            <w:szCs w:val="16"/>
            <w:lang w:val="en-US"/>
          </w:rPr>
          <w:t> § 3º do art. 8º da Lei nº 12.527, de 18 de novembro de 2011</w:t>
        </w:r>
      </w:hyperlink>
      <w:r w:rsidRPr="004601AA">
        <w:rPr>
          <w:rFonts w:ascii="Arial" w:eastAsia="Calibri" w:hAnsi="Arial"/>
          <w:sz w:val="16"/>
          <w:szCs w:val="16"/>
          <w:lang w:val="en-US"/>
        </w:rPr>
        <w:t> (Lei de Acesso à Informação), no qual serão divulgados:</w:t>
      </w:r>
    </w:p>
    <w:p w14:paraId="3064B8DE"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p>
    <w:p w14:paraId="75EA9A4E"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I - o nome do contratado e o número de sua inscrição na Secretaria Especial da Receita Federal do Brasil do Ministério da Economia ou identificador congênere no caso de empresa estrangeira que não funcione no País;</w:t>
      </w:r>
    </w:p>
    <w:p w14:paraId="442E9EDE"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II - o prazo contratual, o valor e o respectivo processo de aquisição ou de contratação;</w:t>
      </w:r>
    </w:p>
    <w:p w14:paraId="4B91804B"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III - o ato que autoriza a contratação direta ou o extrato decorrente do contrato;</w:t>
      </w:r>
    </w:p>
    <w:p w14:paraId="27F38853"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IV - a discriminação do bem adquirido ou do serviço contratado e o local de entrega ou de prestação do serviço;</w:t>
      </w:r>
    </w:p>
    <w:p w14:paraId="44C1B224"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V - o valor global do contrato, as parcelas do objeto, os montantes pagos e o saldo disponível ou bloqueado, caso exista;</w:t>
      </w:r>
    </w:p>
    <w:p w14:paraId="55DBEEB0"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VI - as informações sobre eventuais aditivos contratuais;</w:t>
      </w:r>
    </w:p>
    <w:p w14:paraId="7160A715"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VII - a quantidade entregue ou prestada em cada ente federativo durante a execução do contrato, nas contratações de bens e serviços; e</w:t>
      </w:r>
    </w:p>
    <w:p w14:paraId="23F6C5F8" w14:textId="77777777" w:rsid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VIII - as atas de registros de preços das quais a contratação se origine, se houver.</w:t>
      </w:r>
    </w:p>
    <w:p w14:paraId="2314E6AE"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p>
    <w:p w14:paraId="4D157FF4" w14:textId="77777777" w:rsid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 3º Fica autorizada a contratação de fornecedor exclusivo de bem ou serviço de que trata esta Lei, inclusive no caso da existência de sanção de impedimento ou de suspensão para celebração de contrato com o poder público.</w:t>
      </w:r>
    </w:p>
    <w:p w14:paraId="73E2665E"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p>
    <w:p w14:paraId="4CDA8AB5" w14:textId="77777777" w:rsid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 4º Na hipótese de que trata o § 3º deste artigo, é obrigatória a prestação de garantia nas modalidades previstas no </w:t>
      </w:r>
      <w:hyperlink r:id="rId8" w:anchor="art56" w:history="1">
        <w:r w:rsidRPr="004601AA">
          <w:rPr>
            <w:rFonts w:eastAsia="Calibri"/>
            <w:sz w:val="16"/>
            <w:szCs w:val="16"/>
            <w:lang w:val="en-US"/>
          </w:rPr>
          <w:t>art. 56 da Lei nº 8.666, de 21 de junho de 1993</w:t>
        </w:r>
      </w:hyperlink>
      <w:r w:rsidRPr="004601AA">
        <w:rPr>
          <w:rFonts w:ascii="Arial" w:eastAsia="Calibri" w:hAnsi="Arial"/>
          <w:sz w:val="16"/>
          <w:szCs w:val="16"/>
          <w:lang w:val="en-US"/>
        </w:rPr>
        <w:t> (Lei de Licitações e Contratos), que não poderá exceder 10% (dez por cento) do valor do contrato.</w:t>
      </w:r>
    </w:p>
    <w:p w14:paraId="4F7E1716"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p>
    <w:p w14:paraId="77081E23" w14:textId="77777777" w:rsid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 5º Na hipótese de dispensa de licitação a que se refere o caput deste artigo, quando se tratar de compra ou de contratação por mais de um órgão ou entidade, poderá ser utilizado o sistema de registro de preços previsto no </w:t>
      </w:r>
      <w:hyperlink r:id="rId9" w:anchor="art15ii" w:history="1">
        <w:r w:rsidRPr="004601AA">
          <w:rPr>
            <w:rFonts w:eastAsia="Calibri"/>
            <w:sz w:val="16"/>
            <w:szCs w:val="16"/>
            <w:lang w:val="en-US"/>
          </w:rPr>
          <w:t>inciso II do caput do art. 15 da Lei nº 8.666, de 21 de junho de 1993</w:t>
        </w:r>
      </w:hyperlink>
      <w:r w:rsidRPr="004601AA">
        <w:rPr>
          <w:rFonts w:ascii="Arial" w:eastAsia="Calibri" w:hAnsi="Arial"/>
          <w:sz w:val="16"/>
          <w:szCs w:val="16"/>
          <w:lang w:val="en-US"/>
        </w:rPr>
        <w:t> (Lei de Licitações e Contratos).</w:t>
      </w:r>
    </w:p>
    <w:p w14:paraId="33489969"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p>
    <w:p w14:paraId="0D79237F" w14:textId="77777777" w:rsid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 6º Nas situações abrangidas pelo § 5º deste artigo, o ente federativo poderá aplicar o regulamento federal relativo ao sistema de registro de preços, caso não tenha editado regulamento próprio.</w:t>
      </w:r>
    </w:p>
    <w:p w14:paraId="033212A3"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p>
    <w:p w14:paraId="7B537F7F" w14:textId="77777777" w:rsid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 7º O órgão ou a entidade gerenciadora da compra estabelecerá prazo de 2 (dois) a 8 (oito) dias úteis, contado da data de divulgação da intenção de registro de preço, para que outros órgãos e entidades manifestem interesse em participar do sistema de registro de preços realizado nos termos dos §§ 5º e 6º deste artigo.</w:t>
      </w:r>
    </w:p>
    <w:p w14:paraId="3301A140"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p>
    <w:p w14:paraId="4D4F2C76" w14:textId="77777777" w:rsid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 8º Nas contratações realizadas a partir de 30 (trinta) dias da assinatura da ata de registro de preços, a estimativa de preços será atualizada para verificar se os preços registrados permanecem compatíveis com os praticados no âmbito dos órgãos e das entidades da administração pública direta e indireta, promovendo-se, se for o caso, o reequilíbrio econômico-financeiro do contrato.</w:t>
      </w:r>
    </w:p>
    <w:p w14:paraId="569B91A8"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p>
    <w:p w14:paraId="7169987C"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Art. 3º Nas dispensas de licitação decorrentes do disposto nesta Lei, presumem-se comprovadas:</w:t>
      </w:r>
    </w:p>
    <w:p w14:paraId="7B0BC348"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I - a ocorrência de situação de emergência em saúde pública de importância nacional decorrente do coronavírus responsável pela covid-19 (SARS-CoV-2);</w:t>
      </w:r>
    </w:p>
    <w:p w14:paraId="0D4F9347" w14:textId="77777777" w:rsid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II - a necessidade de pronto atendimento à situação de emergência em saúde pública de importância nacional decorrente do coronavírus responsável pela covid-19 (SARS-CoV-2).</w:t>
      </w:r>
    </w:p>
    <w:p w14:paraId="292FC21C"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p>
    <w:p w14:paraId="40D1B07B" w14:textId="77777777" w:rsid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Art. 4º Nas aquisições e nas contratações de que trata esta Lei, não será exigida a elaboração de estudos preliminares quando se tratar de bens e serviços comuns.</w:t>
      </w:r>
    </w:p>
    <w:p w14:paraId="28366B1D"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p>
    <w:p w14:paraId="476C4689" w14:textId="77777777" w:rsid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Art. 5º Será obrigatória a previsão de matriz de alocação de risco entre o contratante e o contratado na hipótese de aquisições e de contratos acima de R$ 200.000.000,00 (duzentos milhões de reais).</w:t>
      </w:r>
    </w:p>
    <w:p w14:paraId="3244DC25"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p>
    <w:p w14:paraId="1FDAC62B" w14:textId="77777777" w:rsidR="004601AA" w:rsidRPr="004601AA" w:rsidRDefault="004601AA" w:rsidP="004601AA">
      <w:pPr>
        <w:widowControl w:val="0"/>
        <w:autoSpaceDE w:val="0"/>
        <w:autoSpaceDN w:val="0"/>
        <w:adjustRightInd w:val="0"/>
        <w:ind w:left="2268"/>
        <w:rPr>
          <w:rFonts w:ascii="Arial" w:eastAsia="Calibri" w:hAnsi="Arial"/>
          <w:sz w:val="16"/>
          <w:szCs w:val="16"/>
          <w:lang w:val="en-US"/>
        </w:rPr>
      </w:pPr>
      <w:r w:rsidRPr="004601AA">
        <w:rPr>
          <w:rFonts w:ascii="Arial" w:eastAsia="Calibri" w:hAnsi="Arial"/>
          <w:sz w:val="16"/>
          <w:szCs w:val="16"/>
          <w:lang w:val="en-US"/>
        </w:rPr>
        <w:t>Parágrafo único. Em contrato cujo valor seja inferior ao previsto no caput deste artigo, o gerenciamento de riscos da contratação poderá ser exigido somente durante a gestão do contrato.</w:t>
      </w:r>
    </w:p>
    <w:p w14:paraId="26F135A4" w14:textId="77777777" w:rsidR="004601AA" w:rsidRDefault="004601AA" w:rsidP="004601AA">
      <w:pPr>
        <w:rPr>
          <w:rFonts w:ascii="Times" w:hAnsi="Times"/>
        </w:rPr>
      </w:pPr>
    </w:p>
    <w:p w14:paraId="6B8C4CFF" w14:textId="77777777" w:rsidR="004601AA" w:rsidRDefault="004601AA" w:rsidP="00D623BF">
      <w:pPr>
        <w:widowControl w:val="0"/>
        <w:autoSpaceDE w:val="0"/>
        <w:autoSpaceDN w:val="0"/>
        <w:adjustRightInd w:val="0"/>
        <w:ind w:left="2268"/>
        <w:rPr>
          <w:rFonts w:ascii="Arial" w:eastAsia="Calibri" w:hAnsi="Arial"/>
          <w:sz w:val="16"/>
          <w:szCs w:val="16"/>
          <w:lang w:val="en-US"/>
        </w:rPr>
      </w:pPr>
    </w:p>
    <w:p w14:paraId="534D52AA" w14:textId="77777777" w:rsidR="00D623BF" w:rsidRPr="000E790B" w:rsidRDefault="00D623BF" w:rsidP="0053653B">
      <w:pPr>
        <w:widowControl w:val="0"/>
        <w:autoSpaceDE w:val="0"/>
        <w:autoSpaceDN w:val="0"/>
        <w:adjustRightInd w:val="0"/>
        <w:rPr>
          <w:rFonts w:ascii="Arial" w:eastAsia="Calibri" w:hAnsi="Arial"/>
          <w:sz w:val="16"/>
          <w:szCs w:val="16"/>
          <w:lang w:val="en-US"/>
        </w:rPr>
      </w:pPr>
      <w:bookmarkStart w:id="0" w:name="art4"/>
      <w:bookmarkEnd w:id="0"/>
    </w:p>
    <w:p w14:paraId="7A3C1A18" w14:textId="0D5ED044" w:rsidR="00847770" w:rsidRDefault="00D623BF" w:rsidP="00847770">
      <w:pPr>
        <w:spacing w:before="240"/>
        <w:ind w:firstLine="851"/>
        <w:rPr>
          <w:rFonts w:ascii="Arial" w:hAnsi="Arial" w:cs="Arial"/>
          <w:sz w:val="22"/>
          <w:szCs w:val="22"/>
        </w:rPr>
      </w:pPr>
      <w:bookmarkStart w:id="1" w:name="art8"/>
      <w:bookmarkEnd w:id="1"/>
      <w:r w:rsidRPr="00E64C87">
        <w:rPr>
          <w:rFonts w:ascii="Arial" w:hAnsi="Arial" w:cs="Arial"/>
          <w:sz w:val="22"/>
          <w:szCs w:val="22"/>
        </w:rPr>
        <w:t>Relembra-se</w:t>
      </w:r>
      <w:r w:rsidR="00847770">
        <w:rPr>
          <w:rFonts w:ascii="Arial" w:hAnsi="Arial" w:cs="Arial"/>
          <w:sz w:val="22"/>
          <w:szCs w:val="22"/>
        </w:rPr>
        <w:t xml:space="preserve"> que</w:t>
      </w:r>
      <w:r w:rsidRPr="00E64C87">
        <w:rPr>
          <w:rFonts w:ascii="Arial" w:hAnsi="Arial" w:cs="Arial"/>
          <w:sz w:val="22"/>
          <w:szCs w:val="22"/>
        </w:rPr>
        <w:t xml:space="preserve">, </w:t>
      </w:r>
      <w:r w:rsidR="00847770">
        <w:rPr>
          <w:rFonts w:ascii="Arial" w:hAnsi="Arial" w:cs="Arial"/>
          <w:sz w:val="22"/>
          <w:szCs w:val="22"/>
        </w:rPr>
        <w:t>como disposto em seu art. 20</w:t>
      </w:r>
      <w:r w:rsidRPr="00E64C87">
        <w:rPr>
          <w:rFonts w:ascii="Arial" w:hAnsi="Arial" w:cs="Arial"/>
          <w:sz w:val="22"/>
          <w:szCs w:val="22"/>
        </w:rPr>
        <w:t xml:space="preserve">, a </w:t>
      </w:r>
      <w:r w:rsidR="004601AA">
        <w:rPr>
          <w:rFonts w:ascii="Arial" w:hAnsi="Arial" w:cs="Arial"/>
          <w:sz w:val="22"/>
          <w:szCs w:val="22"/>
        </w:rPr>
        <w:t>Lei n. 14.124/2021</w:t>
      </w:r>
      <w:r w:rsidRPr="00E64C87">
        <w:rPr>
          <w:rFonts w:ascii="Arial" w:hAnsi="Arial" w:cs="Arial"/>
          <w:sz w:val="22"/>
          <w:szCs w:val="22"/>
        </w:rPr>
        <w:t xml:space="preserve"> </w:t>
      </w:r>
      <w:r>
        <w:rPr>
          <w:rFonts w:ascii="Arial" w:hAnsi="Arial" w:cs="Arial"/>
          <w:sz w:val="22"/>
          <w:szCs w:val="22"/>
        </w:rPr>
        <w:t>se aplica aos atos praticados e aos contratos ou instrumentos cong</w:t>
      </w:r>
      <w:r w:rsidR="00847770">
        <w:rPr>
          <w:rFonts w:ascii="Arial" w:hAnsi="Arial" w:cs="Arial"/>
          <w:sz w:val="22"/>
          <w:szCs w:val="22"/>
        </w:rPr>
        <w:t xml:space="preserve">êneres </w:t>
      </w:r>
      <w:r w:rsidR="00847770" w:rsidRPr="0068060D">
        <w:rPr>
          <w:rFonts w:ascii="Arial" w:hAnsi="Arial" w:cs="Arial"/>
          <w:b/>
          <w:sz w:val="22"/>
          <w:szCs w:val="22"/>
        </w:rPr>
        <w:t>firmados até 31/07/2021</w:t>
      </w:r>
      <w:r w:rsidR="004601AA">
        <w:rPr>
          <w:rFonts w:ascii="Arial" w:hAnsi="Arial" w:cs="Arial"/>
          <w:sz w:val="22"/>
          <w:szCs w:val="22"/>
        </w:rPr>
        <w:t>, independentemente do seu prazo de execução ou de suas prorrogações.</w:t>
      </w:r>
    </w:p>
    <w:p w14:paraId="6EC1F8A3" w14:textId="77777777" w:rsidR="00D623BF" w:rsidRPr="002E719C" w:rsidRDefault="00D623BF" w:rsidP="00D623BF">
      <w:pPr>
        <w:pStyle w:val="PargrafodaLista"/>
        <w:numPr>
          <w:ilvl w:val="0"/>
          <w:numId w:val="1"/>
        </w:numPr>
        <w:spacing w:before="240"/>
        <w:rPr>
          <w:rFonts w:ascii="Arial" w:hAnsi="Arial" w:cs="Arial"/>
          <w:b/>
          <w:sz w:val="22"/>
          <w:szCs w:val="22"/>
        </w:rPr>
      </w:pPr>
      <w:r>
        <w:rPr>
          <w:rFonts w:ascii="Arial" w:hAnsi="Arial" w:cs="Arial"/>
          <w:b/>
          <w:sz w:val="22"/>
          <w:szCs w:val="22"/>
        </w:rPr>
        <w:t>Pagamento</w:t>
      </w:r>
      <w:r w:rsidRPr="00F17616">
        <w:rPr>
          <w:rFonts w:ascii="Arial" w:hAnsi="Arial" w:cs="Arial"/>
          <w:b/>
          <w:sz w:val="22"/>
          <w:szCs w:val="22"/>
        </w:rPr>
        <w:t xml:space="preserve"> antecipado</w:t>
      </w:r>
    </w:p>
    <w:p w14:paraId="226C710A" w14:textId="77777777" w:rsidR="00D623BF" w:rsidRDefault="00D623BF" w:rsidP="00D623BF">
      <w:pPr>
        <w:spacing w:before="240"/>
        <w:ind w:firstLine="851"/>
        <w:rPr>
          <w:rFonts w:ascii="Arial" w:eastAsia="Calibri" w:hAnsi="Arial" w:cs="Arial"/>
          <w:sz w:val="22"/>
          <w:szCs w:val="22"/>
        </w:rPr>
      </w:pPr>
      <w:r>
        <w:rPr>
          <w:rFonts w:ascii="Arial" w:hAnsi="Arial" w:cs="Arial"/>
          <w:sz w:val="22"/>
          <w:szCs w:val="22"/>
        </w:rPr>
        <w:t xml:space="preserve">De acordo o Tribunal de Contas da União, a possibilidade de pagamento antecipado em contratações públicas é medida excepcional que depende de justificativa devidamente fundamentada, da adoção de cautelas, da exigência de garantias e do cumprimento de uma série de requisitos </w:t>
      </w:r>
      <w:r w:rsidRPr="00F4720A">
        <w:rPr>
          <w:rFonts w:ascii="Arial" w:hAnsi="Arial" w:cs="Arial"/>
          <w:sz w:val="22"/>
          <w:szCs w:val="22"/>
        </w:rPr>
        <w:t>(</w:t>
      </w:r>
      <w:r w:rsidRPr="00F4720A">
        <w:rPr>
          <w:rFonts w:ascii="Arial" w:eastAsia="Calibri" w:hAnsi="Arial" w:cs="Arial"/>
          <w:sz w:val="22"/>
          <w:szCs w:val="22"/>
        </w:rPr>
        <w:t>Acórdãos Plenário – TCU ns. 2565/2007, 3003/2010</w:t>
      </w:r>
      <w:r w:rsidRPr="00F4720A">
        <w:rPr>
          <w:rFonts w:ascii="Arial" w:hAnsi="Arial" w:cs="Arial"/>
          <w:sz w:val="22"/>
          <w:szCs w:val="22"/>
        </w:rPr>
        <w:t xml:space="preserve">, </w:t>
      </w:r>
      <w:r w:rsidRPr="00F4720A">
        <w:rPr>
          <w:rFonts w:ascii="Arial" w:eastAsia="Calibri" w:hAnsi="Arial" w:cs="Arial"/>
          <w:sz w:val="22"/>
          <w:szCs w:val="22"/>
        </w:rPr>
        <w:t>1383/2011, 1614/2013, 1565/2015, 1160/2016 e 2353/2017).</w:t>
      </w:r>
    </w:p>
    <w:p w14:paraId="35394ECC" w14:textId="634157F1" w:rsidR="00D623BF" w:rsidRPr="002865D5" w:rsidRDefault="00D623BF" w:rsidP="00D623BF">
      <w:pPr>
        <w:spacing w:before="240"/>
        <w:ind w:firstLine="851"/>
        <w:rPr>
          <w:rFonts w:ascii="Arial" w:eastAsia="Calibri" w:hAnsi="Arial" w:cs="Arial"/>
          <w:sz w:val="22"/>
          <w:szCs w:val="22"/>
        </w:rPr>
      </w:pPr>
      <w:r>
        <w:rPr>
          <w:rFonts w:ascii="Arial" w:eastAsia="Calibri" w:hAnsi="Arial" w:cs="Arial"/>
          <w:sz w:val="22"/>
          <w:szCs w:val="22"/>
        </w:rPr>
        <w:t xml:space="preserve">Com relação ao pagamento antecipado no caso de contratações relacionadas à vacinação contra a COVID-19, a </w:t>
      </w:r>
      <w:r w:rsidR="00EB22FC" w:rsidRPr="002865D5">
        <w:rPr>
          <w:rFonts w:ascii="Arial" w:hAnsi="Arial" w:cs="Arial"/>
          <w:sz w:val="22"/>
          <w:szCs w:val="22"/>
        </w:rPr>
        <w:t xml:space="preserve">Lei n. 14.124/2021 </w:t>
      </w:r>
      <w:r w:rsidR="00847770" w:rsidRPr="002865D5">
        <w:rPr>
          <w:rFonts w:ascii="Arial" w:eastAsia="Calibri" w:hAnsi="Arial" w:cs="Arial"/>
          <w:sz w:val="22"/>
          <w:szCs w:val="22"/>
        </w:rPr>
        <w:t xml:space="preserve">vai além ao </w:t>
      </w:r>
      <w:r w:rsidRPr="002865D5">
        <w:rPr>
          <w:rFonts w:ascii="Arial" w:eastAsia="Calibri" w:hAnsi="Arial" w:cs="Arial"/>
          <w:sz w:val="22"/>
          <w:szCs w:val="22"/>
        </w:rPr>
        <w:t>estabelece</w:t>
      </w:r>
      <w:r w:rsidR="00847770" w:rsidRPr="002865D5">
        <w:rPr>
          <w:rFonts w:ascii="Arial" w:eastAsia="Calibri" w:hAnsi="Arial" w:cs="Arial"/>
          <w:sz w:val="22"/>
          <w:szCs w:val="22"/>
        </w:rPr>
        <w:t>r</w:t>
      </w:r>
      <w:r w:rsidRPr="002865D5">
        <w:rPr>
          <w:rFonts w:ascii="Arial" w:eastAsia="Calibri" w:hAnsi="Arial" w:cs="Arial"/>
          <w:sz w:val="22"/>
          <w:szCs w:val="22"/>
        </w:rPr>
        <w:t xml:space="preserve"> expressamente que:</w:t>
      </w:r>
    </w:p>
    <w:p w14:paraId="7290AA7E" w14:textId="77777777" w:rsidR="00D623BF" w:rsidRPr="002865D5" w:rsidRDefault="00D623BF" w:rsidP="00D623BF">
      <w:pPr>
        <w:widowControl w:val="0"/>
        <w:autoSpaceDE w:val="0"/>
        <w:autoSpaceDN w:val="0"/>
        <w:adjustRightInd w:val="0"/>
        <w:ind w:left="2268"/>
        <w:rPr>
          <w:rFonts w:ascii="Arial" w:eastAsia="Calibri" w:hAnsi="Arial"/>
          <w:sz w:val="16"/>
          <w:szCs w:val="16"/>
          <w:lang w:val="en-US"/>
        </w:rPr>
      </w:pPr>
    </w:p>
    <w:p w14:paraId="32E9A16E" w14:textId="01BFEE84"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r w:rsidRPr="002865D5">
        <w:rPr>
          <w:rFonts w:ascii="Arial" w:eastAsia="Calibri" w:hAnsi="Arial" w:cs="Arial"/>
          <w:sz w:val="16"/>
          <w:szCs w:val="16"/>
          <w:lang w:val="en-US"/>
        </w:rPr>
        <w:t>Art. 12.  O contrato ou o instrumento congênere para aquisição ou fornecimento de vac</w:t>
      </w:r>
      <w:r w:rsidR="0068060D" w:rsidRPr="002865D5">
        <w:rPr>
          <w:rFonts w:ascii="Arial" w:eastAsia="Calibri" w:hAnsi="Arial" w:cs="Arial"/>
          <w:sz w:val="16"/>
          <w:szCs w:val="16"/>
          <w:lang w:val="en-US"/>
        </w:rPr>
        <w:t>inas contra a covid-19, firmado</w:t>
      </w:r>
      <w:r w:rsidRPr="002865D5">
        <w:rPr>
          <w:rFonts w:ascii="Arial" w:eastAsia="Calibri" w:hAnsi="Arial" w:cs="Arial"/>
          <w:sz w:val="16"/>
          <w:szCs w:val="16"/>
          <w:lang w:val="en-US"/>
        </w:rPr>
        <w:t xml:space="preserve"> antes ou após o registro ou a autoriza</w:t>
      </w:r>
      <w:r w:rsidR="0068060D" w:rsidRPr="002865D5">
        <w:rPr>
          <w:rFonts w:ascii="Arial" w:eastAsia="Calibri" w:hAnsi="Arial" w:cs="Arial"/>
          <w:sz w:val="16"/>
          <w:szCs w:val="16"/>
          <w:lang w:val="en-US"/>
        </w:rPr>
        <w:t>ção de uso emergencial concedidos</w:t>
      </w:r>
      <w:r w:rsidRPr="002865D5">
        <w:rPr>
          <w:rFonts w:ascii="Arial" w:eastAsia="Calibri" w:hAnsi="Arial" w:cs="Arial"/>
          <w:sz w:val="16"/>
          <w:szCs w:val="16"/>
          <w:lang w:val="en-US"/>
        </w:rPr>
        <w:t xml:space="preserve"> pela Agência Nacional de Vigilância Sanitária </w:t>
      </w:r>
      <w:r w:rsidR="0068060D" w:rsidRPr="002865D5">
        <w:rPr>
          <w:rFonts w:ascii="Arial" w:eastAsia="Calibri" w:hAnsi="Arial" w:cs="Arial"/>
          <w:sz w:val="16"/>
          <w:szCs w:val="16"/>
          <w:lang w:val="en-US"/>
        </w:rPr>
        <w:t>(</w:t>
      </w:r>
      <w:r w:rsidRPr="002865D5">
        <w:rPr>
          <w:rFonts w:ascii="Arial" w:eastAsia="Calibri" w:hAnsi="Arial" w:cs="Arial"/>
          <w:sz w:val="16"/>
          <w:szCs w:val="16"/>
          <w:lang w:val="en-US"/>
        </w:rPr>
        <w:t>Anvisa</w:t>
      </w:r>
      <w:r w:rsidR="0068060D" w:rsidRPr="002865D5">
        <w:rPr>
          <w:rFonts w:ascii="Arial" w:eastAsia="Calibri" w:hAnsi="Arial" w:cs="Arial"/>
          <w:sz w:val="16"/>
          <w:szCs w:val="16"/>
          <w:lang w:val="en-US"/>
        </w:rPr>
        <w:t>)</w:t>
      </w:r>
      <w:r w:rsidRPr="002865D5">
        <w:rPr>
          <w:rFonts w:ascii="Arial" w:eastAsia="Calibri" w:hAnsi="Arial" w:cs="Arial"/>
          <w:sz w:val="16"/>
          <w:szCs w:val="16"/>
          <w:lang w:val="en-US"/>
        </w:rPr>
        <w:t xml:space="preserve">, poderá estabelecer as seguintes cláusulas especiais, desde que representem condição indispensável para obter o bem ou </w:t>
      </w:r>
      <w:r w:rsidR="0068060D" w:rsidRPr="002865D5">
        <w:rPr>
          <w:rFonts w:ascii="Arial" w:eastAsia="Calibri" w:hAnsi="Arial" w:cs="Arial"/>
          <w:sz w:val="16"/>
          <w:szCs w:val="16"/>
          <w:lang w:val="en-US"/>
        </w:rPr>
        <w:t xml:space="preserve">para </w:t>
      </w:r>
      <w:r w:rsidRPr="002865D5">
        <w:rPr>
          <w:rFonts w:ascii="Arial" w:eastAsia="Calibri" w:hAnsi="Arial" w:cs="Arial"/>
          <w:sz w:val="16"/>
          <w:szCs w:val="16"/>
          <w:lang w:val="en-US"/>
        </w:rPr>
        <w:t>assegurar a prestação do serviço:</w:t>
      </w:r>
    </w:p>
    <w:p w14:paraId="47E2C3F7" w14:textId="77777777"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p>
    <w:p w14:paraId="6184ADC0" w14:textId="2C4C3B02" w:rsidR="00D623BF" w:rsidRPr="002865D5" w:rsidRDefault="0068060D" w:rsidP="00D623BF">
      <w:pPr>
        <w:widowControl w:val="0"/>
        <w:autoSpaceDE w:val="0"/>
        <w:autoSpaceDN w:val="0"/>
        <w:adjustRightInd w:val="0"/>
        <w:ind w:left="2268"/>
        <w:rPr>
          <w:rFonts w:ascii="Arial" w:eastAsia="Calibri" w:hAnsi="Arial" w:cs="Arial"/>
          <w:b/>
          <w:sz w:val="16"/>
          <w:szCs w:val="16"/>
          <w:lang w:val="en-US"/>
        </w:rPr>
      </w:pPr>
      <w:r w:rsidRPr="002865D5">
        <w:rPr>
          <w:rFonts w:ascii="Arial" w:eastAsia="Calibri" w:hAnsi="Arial" w:cs="Arial"/>
          <w:b/>
          <w:sz w:val="16"/>
          <w:szCs w:val="16"/>
          <w:lang w:val="en-US"/>
        </w:rPr>
        <w:t xml:space="preserve">I - </w:t>
      </w:r>
      <w:r w:rsidR="00D623BF" w:rsidRPr="002865D5">
        <w:rPr>
          <w:rFonts w:ascii="Arial" w:eastAsia="Calibri" w:hAnsi="Arial" w:cs="Arial"/>
          <w:b/>
          <w:sz w:val="16"/>
          <w:szCs w:val="16"/>
          <w:lang w:val="en-US"/>
        </w:rPr>
        <w:t>eventual pagamento antecipado, inclusive com a possibilidade de perda do valor antecipado;</w:t>
      </w:r>
    </w:p>
    <w:p w14:paraId="3A0A827B" w14:textId="29F7F45F"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r w:rsidRPr="002865D5">
        <w:rPr>
          <w:rFonts w:ascii="Arial" w:eastAsia="Calibri" w:hAnsi="Arial" w:cs="Arial"/>
          <w:sz w:val="16"/>
          <w:szCs w:val="16"/>
          <w:lang w:val="en-US"/>
        </w:rPr>
        <w:t xml:space="preserve">II -  hipóteses de não </w:t>
      </w:r>
      <w:r w:rsidR="0068060D" w:rsidRPr="002865D5">
        <w:rPr>
          <w:rFonts w:ascii="Arial" w:eastAsia="Calibri" w:hAnsi="Arial" w:cs="Arial"/>
          <w:sz w:val="16"/>
          <w:szCs w:val="16"/>
          <w:lang w:val="en-US"/>
        </w:rPr>
        <w:t>imposição de penalidade à</w:t>
      </w:r>
      <w:r w:rsidRPr="002865D5">
        <w:rPr>
          <w:rFonts w:ascii="Arial" w:eastAsia="Calibri" w:hAnsi="Arial" w:cs="Arial"/>
          <w:sz w:val="16"/>
          <w:szCs w:val="16"/>
          <w:lang w:val="en-US"/>
        </w:rPr>
        <w:t xml:space="preserve"> contratada; e</w:t>
      </w:r>
    </w:p>
    <w:p w14:paraId="403C7975" w14:textId="2B6C7326"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r w:rsidRPr="002865D5">
        <w:rPr>
          <w:rFonts w:ascii="Arial" w:eastAsia="Calibri" w:hAnsi="Arial" w:cs="Arial"/>
          <w:sz w:val="16"/>
          <w:szCs w:val="16"/>
          <w:lang w:val="en-US"/>
        </w:rPr>
        <w:t>III - outras condições indispensáveis</w:t>
      </w:r>
      <w:r w:rsidR="00A06F87" w:rsidRPr="002865D5">
        <w:rPr>
          <w:rFonts w:ascii="Arial" w:eastAsia="Calibri" w:hAnsi="Arial" w:cs="Arial"/>
          <w:sz w:val="16"/>
          <w:szCs w:val="16"/>
          <w:lang w:val="en-US"/>
        </w:rPr>
        <w:t>, devidamente fundamentadas.</w:t>
      </w:r>
    </w:p>
    <w:p w14:paraId="6B0C4FFF" w14:textId="77777777"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p>
    <w:p w14:paraId="5265E950" w14:textId="4B501DC6"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r w:rsidRPr="002865D5">
        <w:rPr>
          <w:rFonts w:ascii="Arial" w:eastAsia="Calibri" w:hAnsi="Arial" w:cs="Arial"/>
          <w:sz w:val="16"/>
          <w:szCs w:val="16"/>
          <w:lang w:val="en-US"/>
        </w:rPr>
        <w:t xml:space="preserve">§ 1º Quanto às cláusulas dos contratos e </w:t>
      </w:r>
      <w:r w:rsidR="00A06F87" w:rsidRPr="002865D5">
        <w:rPr>
          <w:rFonts w:ascii="Arial" w:eastAsia="Calibri" w:hAnsi="Arial" w:cs="Arial"/>
          <w:sz w:val="16"/>
          <w:szCs w:val="16"/>
          <w:lang w:val="en-US"/>
        </w:rPr>
        <w:t xml:space="preserve">dos </w:t>
      </w:r>
      <w:r w:rsidRPr="002865D5">
        <w:rPr>
          <w:rFonts w:ascii="Arial" w:eastAsia="Calibri" w:hAnsi="Arial" w:cs="Arial"/>
          <w:sz w:val="16"/>
          <w:szCs w:val="16"/>
          <w:lang w:val="en-US"/>
        </w:rPr>
        <w:t>instrumentos de que trata o caput, aplica-se</w:t>
      </w:r>
      <w:r w:rsidR="00A06F87" w:rsidRPr="002865D5">
        <w:rPr>
          <w:rFonts w:ascii="Arial" w:eastAsia="Calibri" w:hAnsi="Arial" w:cs="Arial"/>
          <w:sz w:val="16"/>
          <w:szCs w:val="16"/>
          <w:lang w:val="en-US"/>
        </w:rPr>
        <w:t>, no que couber,</w:t>
      </w:r>
      <w:r w:rsidRPr="002865D5">
        <w:rPr>
          <w:rFonts w:ascii="Arial" w:eastAsia="Calibri" w:hAnsi="Arial" w:cs="Arial"/>
          <w:sz w:val="16"/>
          <w:szCs w:val="16"/>
          <w:lang w:val="en-US"/>
        </w:rPr>
        <w:t xml:space="preserve"> o disposto na </w:t>
      </w:r>
      <w:hyperlink r:id="rId10" w:history="1">
        <w:r w:rsidRPr="002865D5">
          <w:rPr>
            <w:rFonts w:ascii="Arial" w:eastAsia="Calibri" w:hAnsi="Arial" w:cs="Arial"/>
            <w:sz w:val="16"/>
            <w:szCs w:val="16"/>
            <w:lang w:val="en-US"/>
          </w:rPr>
          <w:t xml:space="preserve">Lei nº 8.666, de </w:t>
        </w:r>
        <w:r w:rsidR="00A06F87" w:rsidRPr="002865D5">
          <w:rPr>
            <w:rFonts w:ascii="Arial" w:eastAsia="Calibri" w:hAnsi="Arial" w:cs="Arial"/>
            <w:sz w:val="16"/>
            <w:szCs w:val="16"/>
            <w:lang w:val="en-US"/>
          </w:rPr>
          <w:t xml:space="preserve">21 de junho de </w:t>
        </w:r>
        <w:r w:rsidRPr="002865D5">
          <w:rPr>
            <w:rFonts w:ascii="Arial" w:eastAsia="Calibri" w:hAnsi="Arial" w:cs="Arial"/>
            <w:sz w:val="16"/>
            <w:szCs w:val="16"/>
            <w:lang w:val="en-US"/>
          </w:rPr>
          <w:t>1993</w:t>
        </w:r>
      </w:hyperlink>
      <w:r w:rsidR="00A06F87" w:rsidRPr="002865D5">
        <w:rPr>
          <w:rFonts w:ascii="Arial" w:eastAsia="Calibri" w:hAnsi="Arial" w:cs="Arial"/>
          <w:sz w:val="16"/>
          <w:szCs w:val="16"/>
          <w:lang w:val="en-US"/>
        </w:rPr>
        <w:t xml:space="preserve"> (Lei de Licitações e Contratos).</w:t>
      </w:r>
    </w:p>
    <w:p w14:paraId="2AB48FAF" w14:textId="77777777"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p>
    <w:p w14:paraId="6BF8FC72" w14:textId="77777777"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r w:rsidRPr="002865D5">
        <w:rPr>
          <w:rFonts w:ascii="Arial" w:eastAsia="Calibri" w:hAnsi="Arial" w:cs="Arial"/>
          <w:sz w:val="16"/>
          <w:szCs w:val="16"/>
          <w:lang w:val="en-US"/>
        </w:rPr>
        <w:t>§ 2º As cláusulas de que trata o </w:t>
      </w:r>
      <w:r w:rsidRPr="002865D5">
        <w:rPr>
          <w:rFonts w:ascii="Arial" w:eastAsia="Calibri" w:hAnsi="Arial" w:cs="Arial"/>
          <w:i/>
          <w:sz w:val="16"/>
          <w:szCs w:val="16"/>
          <w:lang w:val="en-US"/>
        </w:rPr>
        <w:t>caput </w:t>
      </w:r>
      <w:r w:rsidRPr="002865D5">
        <w:rPr>
          <w:rFonts w:ascii="Arial" w:eastAsia="Calibri" w:hAnsi="Arial" w:cs="Arial"/>
          <w:sz w:val="16"/>
          <w:szCs w:val="16"/>
          <w:lang w:val="en-US"/>
        </w:rPr>
        <w:t>são excepcionais e caberá ao gestor:</w:t>
      </w:r>
    </w:p>
    <w:p w14:paraId="49F99361" w14:textId="77777777"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p>
    <w:p w14:paraId="0697D4B9" w14:textId="11C5BDA9"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r w:rsidRPr="002865D5">
        <w:rPr>
          <w:rFonts w:ascii="Arial" w:eastAsia="Calibri" w:hAnsi="Arial" w:cs="Arial"/>
          <w:sz w:val="16"/>
          <w:szCs w:val="16"/>
          <w:lang w:val="en-US"/>
        </w:rPr>
        <w:t>I - demonstrar que são indispensáveis</w:t>
      </w:r>
      <w:r w:rsidR="000D3E68" w:rsidRPr="002865D5">
        <w:rPr>
          <w:rFonts w:ascii="Arial" w:eastAsia="Calibri" w:hAnsi="Arial" w:cs="Arial"/>
          <w:sz w:val="16"/>
          <w:szCs w:val="16"/>
          <w:lang w:val="en-US"/>
        </w:rPr>
        <w:t xml:space="preserve"> para a obtenção do bem ou serviço</w:t>
      </w:r>
      <w:r w:rsidRPr="002865D5">
        <w:rPr>
          <w:rFonts w:ascii="Arial" w:eastAsia="Calibri" w:hAnsi="Arial" w:cs="Arial"/>
          <w:sz w:val="16"/>
          <w:szCs w:val="16"/>
          <w:lang w:val="en-US"/>
        </w:rPr>
        <w:t>; e</w:t>
      </w:r>
    </w:p>
    <w:p w14:paraId="09C86094" w14:textId="77777777"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r w:rsidRPr="002865D5">
        <w:rPr>
          <w:rFonts w:ascii="Arial" w:eastAsia="Calibri" w:hAnsi="Arial" w:cs="Arial"/>
          <w:sz w:val="16"/>
          <w:szCs w:val="16"/>
          <w:lang w:val="en-US"/>
        </w:rPr>
        <w:t>II - justificar a sua previsão.</w:t>
      </w:r>
    </w:p>
    <w:p w14:paraId="672DB70D" w14:textId="77777777"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p>
    <w:p w14:paraId="5FD44AC8" w14:textId="39D63CAE"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r w:rsidRPr="002865D5">
        <w:rPr>
          <w:rFonts w:ascii="Arial" w:eastAsia="Calibri" w:hAnsi="Arial" w:cs="Arial"/>
          <w:sz w:val="16"/>
          <w:szCs w:val="16"/>
          <w:lang w:val="en-US"/>
        </w:rPr>
        <w:t xml:space="preserve">§ 3º A perda do valor antecipado e a não </w:t>
      </w:r>
      <w:r w:rsidR="000D3E68" w:rsidRPr="002865D5">
        <w:rPr>
          <w:rFonts w:ascii="Arial" w:eastAsia="Calibri" w:hAnsi="Arial" w:cs="Arial"/>
          <w:sz w:val="16"/>
          <w:szCs w:val="16"/>
          <w:lang w:val="en-US"/>
        </w:rPr>
        <w:t>imposição de penalidade</w:t>
      </w:r>
      <w:r w:rsidRPr="002865D5">
        <w:rPr>
          <w:rFonts w:ascii="Arial" w:eastAsia="Calibri" w:hAnsi="Arial" w:cs="Arial"/>
          <w:sz w:val="16"/>
          <w:szCs w:val="16"/>
          <w:lang w:val="en-US"/>
        </w:rPr>
        <w:t xml:space="preserve"> de que tratam os incisos I e II do caput </w:t>
      </w:r>
      <w:r w:rsidR="000D3E68" w:rsidRPr="002865D5">
        <w:rPr>
          <w:rFonts w:ascii="Arial" w:eastAsia="Calibri" w:hAnsi="Arial" w:cs="Arial"/>
          <w:sz w:val="16"/>
          <w:szCs w:val="16"/>
          <w:lang w:val="en-US"/>
        </w:rPr>
        <w:t xml:space="preserve">deste artigo </w:t>
      </w:r>
      <w:r w:rsidRPr="002865D5">
        <w:rPr>
          <w:rFonts w:ascii="Arial" w:eastAsia="Calibri" w:hAnsi="Arial" w:cs="Arial"/>
          <w:sz w:val="16"/>
          <w:szCs w:val="16"/>
          <w:lang w:val="en-US"/>
        </w:rPr>
        <w:t xml:space="preserve">não serão aplicáveis em caso de fraude, </w:t>
      </w:r>
      <w:r w:rsidR="000D3E68" w:rsidRPr="002865D5">
        <w:rPr>
          <w:rFonts w:ascii="Arial" w:eastAsia="Calibri" w:hAnsi="Arial" w:cs="Arial"/>
          <w:sz w:val="16"/>
          <w:szCs w:val="16"/>
          <w:lang w:val="en-US"/>
        </w:rPr>
        <w:t xml:space="preserve">de </w:t>
      </w:r>
      <w:r w:rsidRPr="002865D5">
        <w:rPr>
          <w:rFonts w:ascii="Arial" w:eastAsia="Calibri" w:hAnsi="Arial" w:cs="Arial"/>
          <w:sz w:val="16"/>
          <w:szCs w:val="16"/>
          <w:lang w:val="en-US"/>
        </w:rPr>
        <w:t xml:space="preserve">dolo ou </w:t>
      </w:r>
      <w:r w:rsidR="000D3E68" w:rsidRPr="002865D5">
        <w:rPr>
          <w:rFonts w:ascii="Arial" w:eastAsia="Calibri" w:hAnsi="Arial" w:cs="Arial"/>
          <w:sz w:val="16"/>
          <w:szCs w:val="16"/>
          <w:lang w:val="en-US"/>
        </w:rPr>
        <w:t xml:space="preserve">de </w:t>
      </w:r>
      <w:r w:rsidRPr="002865D5">
        <w:rPr>
          <w:rFonts w:ascii="Arial" w:eastAsia="Calibri" w:hAnsi="Arial" w:cs="Arial"/>
          <w:sz w:val="16"/>
          <w:szCs w:val="16"/>
          <w:lang w:val="en-US"/>
        </w:rPr>
        <w:t>culpa exclusiva do fornecedor ou contratado.(…)</w:t>
      </w:r>
    </w:p>
    <w:p w14:paraId="6E45CB6C" w14:textId="77777777"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p>
    <w:p w14:paraId="0699D63D" w14:textId="77777777"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r w:rsidRPr="002865D5">
        <w:rPr>
          <w:rFonts w:ascii="Arial" w:eastAsia="Calibri" w:hAnsi="Arial" w:cs="Arial"/>
          <w:sz w:val="16"/>
          <w:szCs w:val="16"/>
          <w:lang w:val="en-US"/>
        </w:rPr>
        <w:t>§ 5º  Na hipótese de que trata o inciso I do caput, a administração pública deverá:</w:t>
      </w:r>
    </w:p>
    <w:p w14:paraId="56BC9A21" w14:textId="77777777"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r w:rsidRPr="002865D5">
        <w:rPr>
          <w:rFonts w:ascii="Arial" w:eastAsia="Calibri" w:hAnsi="Arial" w:cs="Arial"/>
          <w:sz w:val="16"/>
          <w:szCs w:val="16"/>
          <w:lang w:val="en-US"/>
        </w:rPr>
        <w:t>I - prever a antecipação de pagamento em edital ou em instrumento formal de adjudicação direta; e</w:t>
      </w:r>
    </w:p>
    <w:p w14:paraId="1C71D821" w14:textId="2A8EEEFD"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r w:rsidRPr="002865D5">
        <w:rPr>
          <w:rFonts w:ascii="Arial" w:eastAsia="Calibri" w:hAnsi="Arial" w:cs="Arial"/>
          <w:sz w:val="16"/>
          <w:szCs w:val="16"/>
          <w:lang w:val="en-US"/>
        </w:rPr>
        <w:t xml:space="preserve">II - exigir a devolução integral do valor antecipado na hipótese de inexecução do objeto, atualizado monetariamente pela variação acumulada do Índice Nacional de Preços ao Consumidor Amplo </w:t>
      </w:r>
      <w:r w:rsidR="000D3E68" w:rsidRPr="002865D5">
        <w:rPr>
          <w:rFonts w:ascii="Arial" w:eastAsia="Calibri" w:hAnsi="Arial" w:cs="Arial"/>
          <w:sz w:val="16"/>
          <w:szCs w:val="16"/>
          <w:lang w:val="en-US"/>
        </w:rPr>
        <w:t>(</w:t>
      </w:r>
      <w:r w:rsidRPr="002865D5">
        <w:rPr>
          <w:rFonts w:ascii="Arial" w:eastAsia="Calibri" w:hAnsi="Arial" w:cs="Arial"/>
          <w:sz w:val="16"/>
          <w:szCs w:val="16"/>
          <w:lang w:val="en-US"/>
        </w:rPr>
        <w:t>IPCA</w:t>
      </w:r>
      <w:r w:rsidR="000D3E68" w:rsidRPr="002865D5">
        <w:rPr>
          <w:rFonts w:ascii="Arial" w:eastAsia="Calibri" w:hAnsi="Arial" w:cs="Arial"/>
          <w:sz w:val="16"/>
          <w:szCs w:val="16"/>
          <w:lang w:val="en-US"/>
        </w:rPr>
        <w:t>)</w:t>
      </w:r>
      <w:r w:rsidRPr="002865D5">
        <w:rPr>
          <w:rFonts w:ascii="Arial" w:eastAsia="Calibri" w:hAnsi="Arial" w:cs="Arial"/>
          <w:sz w:val="16"/>
          <w:szCs w:val="16"/>
          <w:lang w:val="en-US"/>
        </w:rPr>
        <w:t>, ou índice que venha a substituí-lo, desde a data do pagamento da antecipação até a data da devolução, exceto na hipótese de perda do pagamento antecipado.</w:t>
      </w:r>
    </w:p>
    <w:p w14:paraId="567D324B" w14:textId="77777777"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p>
    <w:p w14:paraId="1BFF4BF4" w14:textId="77777777"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r w:rsidRPr="002865D5">
        <w:rPr>
          <w:rFonts w:ascii="Arial" w:eastAsia="Calibri" w:hAnsi="Arial" w:cs="Arial"/>
          <w:sz w:val="16"/>
          <w:szCs w:val="16"/>
          <w:lang w:val="en-US"/>
        </w:rPr>
        <w:t>§ 6º Sem prejuízo do disposto no § 5º, a administração pública deverá prever cautelas aptas a reduzir o risco de inadimplemento contratual, tais como:</w:t>
      </w:r>
    </w:p>
    <w:p w14:paraId="487332DB" w14:textId="77777777" w:rsidR="000D3E68" w:rsidRPr="002865D5" w:rsidRDefault="000D3E68" w:rsidP="00D623BF">
      <w:pPr>
        <w:widowControl w:val="0"/>
        <w:autoSpaceDE w:val="0"/>
        <w:autoSpaceDN w:val="0"/>
        <w:adjustRightInd w:val="0"/>
        <w:ind w:left="2268"/>
        <w:rPr>
          <w:rFonts w:ascii="Arial" w:eastAsia="Calibri" w:hAnsi="Arial" w:cs="Arial"/>
          <w:sz w:val="16"/>
          <w:szCs w:val="16"/>
          <w:lang w:val="en-US"/>
        </w:rPr>
      </w:pPr>
      <w:bookmarkStart w:id="2" w:name="_GoBack"/>
      <w:bookmarkEnd w:id="2"/>
    </w:p>
    <w:p w14:paraId="2C1187EA" w14:textId="58D54E80"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r w:rsidRPr="002865D5">
        <w:rPr>
          <w:rFonts w:ascii="Arial" w:eastAsia="Calibri" w:hAnsi="Arial" w:cs="Arial"/>
          <w:sz w:val="16"/>
          <w:szCs w:val="16"/>
          <w:lang w:val="en-US"/>
        </w:rPr>
        <w:t xml:space="preserve">I - a comprovação da execução de parte ou de etapa inicial do objeto pelo contratado, para </w:t>
      </w:r>
      <w:r w:rsidR="000D3E68" w:rsidRPr="002865D5">
        <w:rPr>
          <w:rFonts w:ascii="Arial" w:eastAsia="Calibri" w:hAnsi="Arial" w:cs="Arial"/>
          <w:sz w:val="16"/>
          <w:szCs w:val="16"/>
          <w:lang w:val="en-US"/>
        </w:rPr>
        <w:t>efetivação d</w:t>
      </w:r>
      <w:r w:rsidRPr="002865D5">
        <w:rPr>
          <w:rFonts w:ascii="Arial" w:eastAsia="Calibri" w:hAnsi="Arial" w:cs="Arial"/>
          <w:sz w:val="16"/>
          <w:szCs w:val="16"/>
          <w:lang w:val="en-US"/>
        </w:rPr>
        <w:t>a antecipação do valor remanescente;</w:t>
      </w:r>
    </w:p>
    <w:p w14:paraId="3797DF4B" w14:textId="64895572"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r w:rsidRPr="002865D5">
        <w:rPr>
          <w:rFonts w:ascii="Arial" w:eastAsia="Calibri" w:hAnsi="Arial" w:cs="Arial"/>
          <w:sz w:val="16"/>
          <w:szCs w:val="16"/>
          <w:lang w:val="en-US"/>
        </w:rPr>
        <w:t>II - a prestação de garantia nas modalidades previstas no </w:t>
      </w:r>
      <w:hyperlink r:id="rId11" w:anchor="art56" w:history="1">
        <w:r w:rsidRPr="002865D5">
          <w:rPr>
            <w:rFonts w:ascii="Arial" w:eastAsia="Calibri" w:hAnsi="Arial" w:cs="Arial"/>
            <w:sz w:val="16"/>
            <w:szCs w:val="16"/>
            <w:lang w:val="en-US"/>
          </w:rPr>
          <w:t xml:space="preserve">art. 56 da Lei nº 8.666, </w:t>
        </w:r>
        <w:r w:rsidR="0031234A" w:rsidRPr="002865D5">
          <w:rPr>
            <w:rFonts w:ascii="Arial" w:eastAsia="Calibri" w:hAnsi="Arial" w:cs="Arial"/>
            <w:sz w:val="16"/>
            <w:szCs w:val="16"/>
            <w:lang w:val="en-US"/>
          </w:rPr>
          <w:t xml:space="preserve">de 21 de junho </w:t>
        </w:r>
        <w:r w:rsidRPr="002865D5">
          <w:rPr>
            <w:rFonts w:ascii="Arial" w:eastAsia="Calibri" w:hAnsi="Arial" w:cs="Arial"/>
            <w:sz w:val="16"/>
            <w:szCs w:val="16"/>
            <w:lang w:val="en-US"/>
          </w:rPr>
          <w:t>de1993</w:t>
        </w:r>
      </w:hyperlink>
      <w:r w:rsidR="0031234A" w:rsidRPr="002865D5">
        <w:rPr>
          <w:rFonts w:ascii="Arial" w:eastAsia="Calibri" w:hAnsi="Arial" w:cs="Arial"/>
          <w:sz w:val="16"/>
          <w:szCs w:val="16"/>
          <w:lang w:val="en-US"/>
        </w:rPr>
        <w:t xml:space="preserve"> (Lei de Licitações e Contratos), </w:t>
      </w:r>
      <w:r w:rsidRPr="002865D5">
        <w:rPr>
          <w:rFonts w:ascii="Arial" w:eastAsia="Calibri" w:hAnsi="Arial" w:cs="Arial"/>
          <w:sz w:val="16"/>
          <w:szCs w:val="16"/>
          <w:lang w:val="en-US"/>
        </w:rPr>
        <w:t xml:space="preserve">de até </w:t>
      </w:r>
      <w:r w:rsidR="0031234A" w:rsidRPr="002865D5">
        <w:rPr>
          <w:rFonts w:ascii="Arial" w:eastAsia="Calibri" w:hAnsi="Arial" w:cs="Arial"/>
          <w:sz w:val="16"/>
          <w:szCs w:val="16"/>
          <w:lang w:val="en-US"/>
        </w:rPr>
        <w:t>30% (</w:t>
      </w:r>
      <w:r w:rsidRPr="002865D5">
        <w:rPr>
          <w:rFonts w:ascii="Arial" w:eastAsia="Calibri" w:hAnsi="Arial" w:cs="Arial"/>
          <w:sz w:val="16"/>
          <w:szCs w:val="16"/>
          <w:lang w:val="en-US"/>
        </w:rPr>
        <w:t>trinta por cento</w:t>
      </w:r>
      <w:r w:rsidR="0031234A" w:rsidRPr="002865D5">
        <w:rPr>
          <w:rFonts w:ascii="Arial" w:eastAsia="Calibri" w:hAnsi="Arial" w:cs="Arial"/>
          <w:sz w:val="16"/>
          <w:szCs w:val="16"/>
          <w:lang w:val="en-US"/>
        </w:rPr>
        <w:t>)</w:t>
      </w:r>
      <w:r w:rsidRPr="002865D5">
        <w:rPr>
          <w:rFonts w:ascii="Arial" w:eastAsia="Calibri" w:hAnsi="Arial" w:cs="Arial"/>
          <w:sz w:val="16"/>
          <w:szCs w:val="16"/>
          <w:lang w:val="en-US"/>
        </w:rPr>
        <w:t xml:space="preserve"> do valor do objeto;</w:t>
      </w:r>
    </w:p>
    <w:p w14:paraId="585E1E6E" w14:textId="77777777"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r w:rsidRPr="002865D5">
        <w:rPr>
          <w:rFonts w:ascii="Arial" w:eastAsia="Calibri" w:hAnsi="Arial" w:cs="Arial"/>
          <w:sz w:val="16"/>
          <w:szCs w:val="16"/>
          <w:lang w:val="en-US"/>
        </w:rPr>
        <w:t>III - a emissão de título de crédito pelo contratado;</w:t>
      </w:r>
    </w:p>
    <w:p w14:paraId="2DC2482A" w14:textId="77777777"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r w:rsidRPr="002865D5">
        <w:rPr>
          <w:rFonts w:ascii="Arial" w:eastAsia="Calibri" w:hAnsi="Arial" w:cs="Arial"/>
          <w:sz w:val="16"/>
          <w:szCs w:val="16"/>
          <w:lang w:val="en-US"/>
        </w:rPr>
        <w:t>IV - o acompanhamento da mercadoria, em qualquer momento do transporte, por representante da administração pública; e</w:t>
      </w:r>
    </w:p>
    <w:p w14:paraId="115743CF" w14:textId="77777777" w:rsidR="00D623BF" w:rsidRPr="002865D5" w:rsidRDefault="00D623BF" w:rsidP="00D623BF">
      <w:pPr>
        <w:widowControl w:val="0"/>
        <w:autoSpaceDE w:val="0"/>
        <w:autoSpaceDN w:val="0"/>
        <w:adjustRightInd w:val="0"/>
        <w:ind w:left="2268"/>
        <w:rPr>
          <w:rFonts w:ascii="Arial" w:eastAsia="Calibri" w:hAnsi="Arial" w:cs="Arial"/>
          <w:sz w:val="16"/>
          <w:szCs w:val="16"/>
          <w:lang w:val="en-US"/>
        </w:rPr>
      </w:pPr>
      <w:r w:rsidRPr="002865D5">
        <w:rPr>
          <w:rFonts w:ascii="Arial" w:eastAsia="Calibri" w:hAnsi="Arial" w:cs="Arial"/>
          <w:sz w:val="16"/>
          <w:szCs w:val="16"/>
          <w:lang w:val="en-US"/>
        </w:rPr>
        <w:t>V - a exigência de certificação do produto ou do fornecedor.</w:t>
      </w:r>
    </w:p>
    <w:p w14:paraId="5BD119CA" w14:textId="33340CC0" w:rsidR="00D623BF" w:rsidRPr="00BA2EA2" w:rsidRDefault="00D623BF" w:rsidP="00D623BF">
      <w:pPr>
        <w:spacing w:before="240"/>
        <w:ind w:firstLine="851"/>
        <w:rPr>
          <w:rFonts w:ascii="Arial" w:eastAsia="Calibri" w:hAnsi="Arial" w:cs="Arial"/>
          <w:sz w:val="22"/>
          <w:szCs w:val="22"/>
        </w:rPr>
      </w:pPr>
      <w:r w:rsidRPr="00BA2EA2">
        <w:rPr>
          <w:rFonts w:ascii="Arial" w:hAnsi="Arial" w:cs="Arial"/>
          <w:sz w:val="22"/>
          <w:szCs w:val="22"/>
        </w:rPr>
        <w:t>Por sua vez, o art. 2</w:t>
      </w:r>
      <w:r w:rsidRPr="00BA2EA2">
        <w:rPr>
          <w:rFonts w:ascii="Arial" w:hAnsi="Arial" w:cs="Arial"/>
          <w:sz w:val="22"/>
          <w:szCs w:val="22"/>
          <w:vertAlign w:val="superscript"/>
        </w:rPr>
        <w:t>o</w:t>
      </w:r>
      <w:r w:rsidRPr="00BA2EA2">
        <w:rPr>
          <w:rFonts w:ascii="Arial" w:hAnsi="Arial" w:cs="Arial"/>
          <w:sz w:val="22"/>
          <w:szCs w:val="22"/>
        </w:rPr>
        <w:t xml:space="preserve"> da Lei estadual n. </w:t>
      </w:r>
      <w:r w:rsidRPr="00BA2EA2">
        <w:rPr>
          <w:rFonts w:ascii="Arial" w:eastAsia="Calibri" w:hAnsi="Arial" w:cs="Arial"/>
          <w:sz w:val="22"/>
          <w:szCs w:val="22"/>
        </w:rPr>
        <w:t xml:space="preserve">18.092/2021 trata </w:t>
      </w:r>
      <w:r w:rsidR="009B2D86">
        <w:rPr>
          <w:rFonts w:ascii="Arial" w:eastAsia="Calibri" w:hAnsi="Arial" w:cs="Arial"/>
          <w:sz w:val="22"/>
          <w:szCs w:val="22"/>
        </w:rPr>
        <w:t xml:space="preserve">de forma mais restrita </w:t>
      </w:r>
      <w:r w:rsidRPr="00BA2EA2">
        <w:rPr>
          <w:rFonts w:ascii="Arial" w:eastAsia="Calibri" w:hAnsi="Arial" w:cs="Arial"/>
          <w:sz w:val="22"/>
          <w:szCs w:val="22"/>
        </w:rPr>
        <w:t>da possibilidade de pagamento antecipado decorrente de contratação direta em condições excepcionalíssimas, mesmo que não seja especificamente relacionado ao enfrentamento da COVID-19.</w:t>
      </w:r>
    </w:p>
    <w:p w14:paraId="7FD7400F" w14:textId="77777777" w:rsidR="00D623BF" w:rsidRDefault="00D623BF" w:rsidP="00D623BF">
      <w:pPr>
        <w:widowControl w:val="0"/>
        <w:autoSpaceDE w:val="0"/>
        <w:autoSpaceDN w:val="0"/>
        <w:adjustRightInd w:val="0"/>
        <w:ind w:left="2268"/>
        <w:rPr>
          <w:rFonts w:ascii="Arial" w:eastAsia="Calibri" w:hAnsi="Arial" w:cs="Arial"/>
          <w:sz w:val="16"/>
          <w:szCs w:val="16"/>
          <w:lang w:val="en-US"/>
        </w:rPr>
      </w:pPr>
    </w:p>
    <w:p w14:paraId="7FC16BF1" w14:textId="77777777" w:rsidR="00D623BF" w:rsidRDefault="00D623BF" w:rsidP="00D623BF">
      <w:pPr>
        <w:widowControl w:val="0"/>
        <w:autoSpaceDE w:val="0"/>
        <w:autoSpaceDN w:val="0"/>
        <w:adjustRightInd w:val="0"/>
        <w:ind w:left="2268"/>
        <w:rPr>
          <w:rFonts w:ascii="Arial" w:eastAsia="Calibri" w:hAnsi="Arial" w:cs="Arial"/>
          <w:sz w:val="16"/>
          <w:szCs w:val="16"/>
          <w:lang w:val="en-US"/>
        </w:rPr>
      </w:pPr>
      <w:r w:rsidRPr="00950EEE">
        <w:rPr>
          <w:rFonts w:ascii="Arial" w:eastAsia="Calibri" w:hAnsi="Arial" w:cs="Arial"/>
          <w:sz w:val="16"/>
          <w:szCs w:val="16"/>
          <w:lang w:val="en-US"/>
        </w:rPr>
        <w:t>Art. 2º O pagamento antecipado em decorrência da celebração de contratos administrativos firmados em decorrência de contratação direta por dispensa ou inexigibilidade de processo licitatório somente será admitido em condições excepcionalíssimas, devendo ser demonstrada, nos autos do processo administrativo, a existência do interesse público.</w:t>
      </w:r>
    </w:p>
    <w:p w14:paraId="3A56FD5A" w14:textId="77777777" w:rsidR="00D623BF" w:rsidRPr="00950EEE" w:rsidRDefault="00D623BF" w:rsidP="00D623BF">
      <w:pPr>
        <w:widowControl w:val="0"/>
        <w:autoSpaceDE w:val="0"/>
        <w:autoSpaceDN w:val="0"/>
        <w:adjustRightInd w:val="0"/>
        <w:ind w:left="2268"/>
        <w:rPr>
          <w:rFonts w:ascii="Arial" w:eastAsia="Calibri" w:hAnsi="Arial" w:cs="Arial"/>
          <w:sz w:val="16"/>
          <w:szCs w:val="16"/>
          <w:lang w:val="en-US"/>
        </w:rPr>
      </w:pPr>
    </w:p>
    <w:p w14:paraId="364248D4" w14:textId="77777777" w:rsidR="00D623BF" w:rsidRDefault="00D623BF" w:rsidP="00D623BF">
      <w:pPr>
        <w:widowControl w:val="0"/>
        <w:autoSpaceDE w:val="0"/>
        <w:autoSpaceDN w:val="0"/>
        <w:adjustRightInd w:val="0"/>
        <w:ind w:left="2268"/>
        <w:rPr>
          <w:rFonts w:ascii="Arial" w:eastAsia="Calibri" w:hAnsi="Arial" w:cs="Arial"/>
          <w:sz w:val="16"/>
          <w:szCs w:val="16"/>
          <w:lang w:val="en-US"/>
        </w:rPr>
      </w:pPr>
      <w:r w:rsidRPr="00950EEE">
        <w:rPr>
          <w:rFonts w:ascii="Arial" w:eastAsia="Calibri" w:hAnsi="Arial" w:cs="Arial"/>
          <w:sz w:val="16"/>
          <w:szCs w:val="16"/>
          <w:lang w:val="en-US"/>
        </w:rPr>
        <w:t xml:space="preserve">Parágrafo único. O pagamento antecipado a que se refere o </w:t>
      </w:r>
      <w:r w:rsidRPr="001B0849">
        <w:rPr>
          <w:rFonts w:ascii="Arial" w:eastAsia="Calibri" w:hAnsi="Arial" w:cs="Arial"/>
          <w:i/>
          <w:sz w:val="16"/>
          <w:szCs w:val="16"/>
          <w:lang w:val="en-US"/>
        </w:rPr>
        <w:t>caput</w:t>
      </w:r>
      <w:r w:rsidRPr="00950EEE">
        <w:rPr>
          <w:rFonts w:ascii="Arial" w:eastAsia="Calibri" w:hAnsi="Arial" w:cs="Arial"/>
          <w:sz w:val="16"/>
          <w:szCs w:val="16"/>
          <w:lang w:val="en-US"/>
        </w:rPr>
        <w:t xml:space="preserve"> deverá, ainda, obedecer os seguintes requisitos:</w:t>
      </w:r>
    </w:p>
    <w:p w14:paraId="0737334C" w14:textId="77777777" w:rsidR="0053653B" w:rsidRPr="00950EEE" w:rsidRDefault="0053653B" w:rsidP="00D623BF">
      <w:pPr>
        <w:widowControl w:val="0"/>
        <w:autoSpaceDE w:val="0"/>
        <w:autoSpaceDN w:val="0"/>
        <w:adjustRightInd w:val="0"/>
        <w:ind w:left="2268"/>
        <w:rPr>
          <w:rFonts w:ascii="Arial" w:eastAsia="Calibri" w:hAnsi="Arial" w:cs="Arial"/>
          <w:sz w:val="16"/>
          <w:szCs w:val="16"/>
          <w:lang w:val="en-US"/>
        </w:rPr>
      </w:pPr>
    </w:p>
    <w:p w14:paraId="27F0AC68" w14:textId="77777777" w:rsidR="00D623BF" w:rsidRPr="00950EEE" w:rsidRDefault="00D623BF" w:rsidP="00D623BF">
      <w:pPr>
        <w:widowControl w:val="0"/>
        <w:autoSpaceDE w:val="0"/>
        <w:autoSpaceDN w:val="0"/>
        <w:adjustRightInd w:val="0"/>
        <w:ind w:left="2268"/>
        <w:rPr>
          <w:rFonts w:ascii="Arial" w:eastAsia="Calibri" w:hAnsi="Arial" w:cs="Arial"/>
          <w:sz w:val="16"/>
          <w:szCs w:val="16"/>
          <w:lang w:val="en-US"/>
        </w:rPr>
      </w:pPr>
      <w:r w:rsidRPr="00950EEE">
        <w:rPr>
          <w:rFonts w:ascii="Arial" w:eastAsia="Calibri" w:hAnsi="Arial" w:cs="Arial"/>
          <w:sz w:val="16"/>
          <w:szCs w:val="16"/>
          <w:lang w:val="en-US"/>
        </w:rPr>
        <w:t>I - representar condição sem a qual não seja possível obter ou assegurar a contratação do objeto;</w:t>
      </w:r>
    </w:p>
    <w:p w14:paraId="5712DEE2" w14:textId="77777777" w:rsidR="00D623BF" w:rsidRPr="00950EEE" w:rsidRDefault="00D623BF" w:rsidP="00D623BF">
      <w:pPr>
        <w:widowControl w:val="0"/>
        <w:autoSpaceDE w:val="0"/>
        <w:autoSpaceDN w:val="0"/>
        <w:adjustRightInd w:val="0"/>
        <w:ind w:left="2268"/>
        <w:rPr>
          <w:rFonts w:ascii="Arial" w:eastAsia="Calibri" w:hAnsi="Arial" w:cs="Arial"/>
          <w:sz w:val="16"/>
          <w:szCs w:val="16"/>
          <w:lang w:val="en-US"/>
        </w:rPr>
      </w:pPr>
      <w:r w:rsidRPr="00950EEE">
        <w:rPr>
          <w:rFonts w:ascii="Arial" w:eastAsia="Calibri" w:hAnsi="Arial" w:cs="Arial"/>
          <w:sz w:val="16"/>
          <w:szCs w:val="16"/>
          <w:lang w:val="en-US"/>
        </w:rPr>
        <w:t>II - propiciar sensível economia de recursos;</w:t>
      </w:r>
    </w:p>
    <w:p w14:paraId="09FD5A6C" w14:textId="77777777" w:rsidR="00D623BF" w:rsidRDefault="00D623BF" w:rsidP="00D623BF">
      <w:pPr>
        <w:widowControl w:val="0"/>
        <w:autoSpaceDE w:val="0"/>
        <w:autoSpaceDN w:val="0"/>
        <w:adjustRightInd w:val="0"/>
        <w:ind w:left="2268"/>
        <w:rPr>
          <w:rFonts w:ascii="Arial" w:eastAsia="Calibri" w:hAnsi="Arial" w:cs="Arial"/>
          <w:sz w:val="16"/>
          <w:szCs w:val="16"/>
          <w:lang w:val="en-US"/>
        </w:rPr>
      </w:pPr>
      <w:r w:rsidRPr="00950EEE">
        <w:rPr>
          <w:rFonts w:ascii="Arial" w:eastAsia="Calibri" w:hAnsi="Arial" w:cs="Arial"/>
          <w:sz w:val="16"/>
          <w:szCs w:val="16"/>
          <w:lang w:val="en-US"/>
        </w:rPr>
        <w:t xml:space="preserve">III - somente ser admitido após a adoção de indispensáveis cautelas e garantias da execução do objeto; </w:t>
      </w:r>
    </w:p>
    <w:p w14:paraId="57829E4D" w14:textId="77777777" w:rsidR="00D623BF" w:rsidRPr="00950EEE" w:rsidRDefault="00D623BF" w:rsidP="00D623BF">
      <w:pPr>
        <w:widowControl w:val="0"/>
        <w:autoSpaceDE w:val="0"/>
        <w:autoSpaceDN w:val="0"/>
        <w:adjustRightInd w:val="0"/>
        <w:ind w:left="2268"/>
        <w:rPr>
          <w:rFonts w:ascii="Arial" w:eastAsia="Calibri" w:hAnsi="Arial" w:cs="Arial"/>
          <w:sz w:val="16"/>
          <w:szCs w:val="16"/>
          <w:lang w:val="en-US"/>
        </w:rPr>
      </w:pPr>
      <w:r w:rsidRPr="00950EEE">
        <w:rPr>
          <w:rFonts w:ascii="Arial" w:eastAsia="Calibri" w:hAnsi="Arial" w:cs="Arial"/>
          <w:sz w:val="16"/>
          <w:szCs w:val="16"/>
          <w:lang w:val="en-US"/>
        </w:rPr>
        <w:t>IV - ser previsto no instrumento formal de contratação direta;</w:t>
      </w:r>
    </w:p>
    <w:p w14:paraId="48FFCB3C" w14:textId="77777777" w:rsidR="00D623BF" w:rsidRPr="00950EEE" w:rsidRDefault="00D623BF" w:rsidP="00D623BF">
      <w:pPr>
        <w:widowControl w:val="0"/>
        <w:autoSpaceDE w:val="0"/>
        <w:autoSpaceDN w:val="0"/>
        <w:adjustRightInd w:val="0"/>
        <w:ind w:left="2268"/>
        <w:rPr>
          <w:rFonts w:ascii="Arial" w:eastAsia="Calibri" w:hAnsi="Arial" w:cs="Arial"/>
          <w:sz w:val="16"/>
          <w:szCs w:val="16"/>
          <w:lang w:val="en-US"/>
        </w:rPr>
      </w:pPr>
      <w:r w:rsidRPr="00950EEE">
        <w:rPr>
          <w:rFonts w:ascii="Arial" w:eastAsia="Calibri" w:hAnsi="Arial" w:cs="Arial"/>
          <w:sz w:val="16"/>
          <w:szCs w:val="16"/>
          <w:lang w:val="en-US"/>
        </w:rPr>
        <w:t>V - haver a inserção de cláusula, no instrumento convocatório ou no contrato, que obrigue o contratado a devolver o valor antecipado atualizado caso não executado o objeto, sem prejuízo de multa e demais sanções previstas na legislação vigente; e</w:t>
      </w:r>
    </w:p>
    <w:p w14:paraId="18249FC8" w14:textId="77777777" w:rsidR="00D623BF" w:rsidRDefault="00D623BF" w:rsidP="00D623BF">
      <w:pPr>
        <w:widowControl w:val="0"/>
        <w:autoSpaceDE w:val="0"/>
        <w:autoSpaceDN w:val="0"/>
        <w:adjustRightInd w:val="0"/>
        <w:ind w:left="2268"/>
        <w:rPr>
          <w:rFonts w:ascii="Arial" w:eastAsia="Calibri" w:hAnsi="Arial" w:cs="Arial"/>
          <w:sz w:val="16"/>
          <w:szCs w:val="16"/>
          <w:lang w:val="en-US"/>
        </w:rPr>
      </w:pPr>
      <w:r w:rsidRPr="00950EEE">
        <w:rPr>
          <w:rFonts w:ascii="Arial" w:eastAsia="Calibri" w:hAnsi="Arial" w:cs="Arial"/>
          <w:sz w:val="16"/>
          <w:szCs w:val="16"/>
          <w:lang w:val="en-US"/>
        </w:rPr>
        <w:t>VI - haver a verificação do desempenho do contratado em outras relações contratuais mantidas com as Administrações Pública ou privada.</w:t>
      </w:r>
    </w:p>
    <w:p w14:paraId="50126D1C" w14:textId="77777777" w:rsidR="00D623BF" w:rsidRDefault="00D623BF" w:rsidP="00D623BF">
      <w:pPr>
        <w:widowControl w:val="0"/>
        <w:autoSpaceDE w:val="0"/>
        <w:autoSpaceDN w:val="0"/>
        <w:adjustRightInd w:val="0"/>
        <w:ind w:left="2268"/>
        <w:rPr>
          <w:rFonts w:ascii="Arial" w:eastAsia="Calibri" w:hAnsi="Arial" w:cs="Arial"/>
          <w:sz w:val="16"/>
          <w:szCs w:val="16"/>
          <w:lang w:val="en-US"/>
        </w:rPr>
      </w:pPr>
    </w:p>
    <w:p w14:paraId="6DF0A083" w14:textId="77777777" w:rsidR="00D623BF" w:rsidRPr="003D67F5" w:rsidRDefault="00D623BF" w:rsidP="00D623BF">
      <w:pPr>
        <w:spacing w:before="240"/>
        <w:ind w:firstLine="851"/>
        <w:rPr>
          <w:rFonts w:ascii="Arial" w:hAnsi="Arial" w:cs="Arial"/>
          <w:sz w:val="22"/>
          <w:szCs w:val="22"/>
        </w:rPr>
      </w:pPr>
      <w:r>
        <w:rPr>
          <w:rFonts w:ascii="Arial" w:hAnsi="Arial" w:cs="Arial"/>
          <w:sz w:val="22"/>
          <w:szCs w:val="22"/>
        </w:rPr>
        <w:t>Como visto</w:t>
      </w:r>
      <w:r w:rsidRPr="003D67F5">
        <w:rPr>
          <w:rFonts w:ascii="Arial" w:hAnsi="Arial" w:cs="Arial"/>
          <w:sz w:val="22"/>
          <w:szCs w:val="22"/>
        </w:rPr>
        <w:t>, a possibilidade de pagamento antecipado é</w:t>
      </w:r>
      <w:r>
        <w:rPr>
          <w:rFonts w:ascii="Arial" w:hAnsi="Arial" w:cs="Arial"/>
          <w:sz w:val="22"/>
          <w:szCs w:val="22"/>
        </w:rPr>
        <w:t xml:space="preserve"> medida excepcional </w:t>
      </w:r>
      <w:r w:rsidR="00847770">
        <w:rPr>
          <w:rFonts w:ascii="Arial" w:hAnsi="Arial" w:cs="Arial"/>
          <w:sz w:val="22"/>
          <w:szCs w:val="22"/>
        </w:rPr>
        <w:t>e permane</w:t>
      </w:r>
      <w:r w:rsidRPr="003D67F5">
        <w:rPr>
          <w:rFonts w:ascii="Arial" w:hAnsi="Arial" w:cs="Arial"/>
          <w:sz w:val="22"/>
          <w:szCs w:val="22"/>
        </w:rPr>
        <w:t>ce sujeita à demonstração de sua indispensabilidade e da</w:t>
      </w:r>
      <w:r>
        <w:rPr>
          <w:rFonts w:ascii="Arial" w:hAnsi="Arial" w:cs="Arial"/>
          <w:sz w:val="22"/>
          <w:szCs w:val="22"/>
        </w:rPr>
        <w:t xml:space="preserve"> justificativa de sua previsão, além do cumprimento </w:t>
      </w:r>
      <w:r w:rsidR="00847770">
        <w:rPr>
          <w:rFonts w:ascii="Arial" w:hAnsi="Arial" w:cs="Arial"/>
          <w:sz w:val="22"/>
          <w:szCs w:val="22"/>
        </w:rPr>
        <w:t>dos</w:t>
      </w:r>
      <w:r>
        <w:rPr>
          <w:rFonts w:ascii="Arial" w:hAnsi="Arial" w:cs="Arial"/>
          <w:sz w:val="22"/>
          <w:szCs w:val="22"/>
        </w:rPr>
        <w:t xml:space="preserve"> requisitos estabelecidos em </w:t>
      </w:r>
      <w:r w:rsidR="00847770">
        <w:rPr>
          <w:rFonts w:ascii="Arial" w:hAnsi="Arial" w:cs="Arial"/>
          <w:sz w:val="22"/>
          <w:szCs w:val="22"/>
        </w:rPr>
        <w:t>norma.</w:t>
      </w:r>
      <w:r>
        <w:rPr>
          <w:rFonts w:ascii="Arial" w:hAnsi="Arial" w:cs="Arial"/>
          <w:sz w:val="22"/>
          <w:szCs w:val="22"/>
        </w:rPr>
        <w:t xml:space="preserve"> </w:t>
      </w:r>
    </w:p>
    <w:p w14:paraId="434ABD85" w14:textId="77777777" w:rsidR="00D623BF" w:rsidRPr="00F40C52" w:rsidRDefault="00D623BF" w:rsidP="00D623BF">
      <w:pPr>
        <w:pStyle w:val="PargrafodaLista"/>
        <w:numPr>
          <w:ilvl w:val="0"/>
          <w:numId w:val="1"/>
        </w:numPr>
        <w:spacing w:before="240"/>
        <w:rPr>
          <w:rFonts w:ascii="Arial" w:hAnsi="Arial" w:cs="Arial"/>
          <w:b/>
          <w:sz w:val="22"/>
          <w:szCs w:val="22"/>
        </w:rPr>
      </w:pPr>
      <w:r w:rsidRPr="00F17616">
        <w:rPr>
          <w:rFonts w:ascii="Arial" w:hAnsi="Arial" w:cs="Arial"/>
          <w:b/>
          <w:sz w:val="22"/>
          <w:szCs w:val="22"/>
        </w:rPr>
        <w:t>Requisição de Compras a ser registrada n</w:t>
      </w:r>
      <w:r w:rsidR="00847770">
        <w:rPr>
          <w:rFonts w:ascii="Arial" w:hAnsi="Arial" w:cs="Arial"/>
          <w:b/>
          <w:sz w:val="22"/>
          <w:szCs w:val="22"/>
        </w:rPr>
        <w:t>o s</w:t>
      </w:r>
      <w:r w:rsidRPr="00F17616">
        <w:rPr>
          <w:rFonts w:ascii="Arial" w:hAnsi="Arial" w:cs="Arial"/>
          <w:b/>
          <w:sz w:val="22"/>
          <w:szCs w:val="22"/>
        </w:rPr>
        <w:t>istema WebLIC (Decreto</w:t>
      </w:r>
      <w:r>
        <w:rPr>
          <w:rFonts w:ascii="Arial" w:hAnsi="Arial" w:cs="Arial"/>
          <w:b/>
          <w:sz w:val="22"/>
          <w:szCs w:val="22"/>
        </w:rPr>
        <w:t xml:space="preserve"> estadual</w:t>
      </w:r>
      <w:r w:rsidRPr="00F17616">
        <w:rPr>
          <w:rFonts w:ascii="Arial" w:hAnsi="Arial" w:cs="Arial"/>
          <w:b/>
          <w:sz w:val="22"/>
          <w:szCs w:val="22"/>
        </w:rPr>
        <w:t xml:space="preserve"> n. 903/2020)</w:t>
      </w:r>
    </w:p>
    <w:p w14:paraId="255581F1" w14:textId="77777777" w:rsidR="00D623BF" w:rsidRPr="003D67F5" w:rsidRDefault="00D623BF" w:rsidP="00D623BF">
      <w:pPr>
        <w:spacing w:before="240"/>
        <w:ind w:firstLine="851"/>
        <w:rPr>
          <w:rFonts w:ascii="Arial" w:hAnsi="Arial" w:cs="Arial"/>
          <w:sz w:val="22"/>
          <w:szCs w:val="22"/>
        </w:rPr>
      </w:pPr>
      <w:r>
        <w:rPr>
          <w:rFonts w:ascii="Arial" w:hAnsi="Arial" w:cs="Arial"/>
          <w:sz w:val="22"/>
          <w:szCs w:val="22"/>
        </w:rPr>
        <w:t xml:space="preserve">Para as aquisições de bens e serviços, o Decreto estadual n. 903/2020 estabelece que os órgãos e as entidades devem encaminhar solicitação ao Grupo Gestor de Governo por meio do preenchimento da Requisição de Compras do Sistema webLIC.  </w:t>
      </w:r>
    </w:p>
    <w:p w14:paraId="5C66C03C" w14:textId="77777777" w:rsidR="00D623BF" w:rsidRDefault="00D623BF" w:rsidP="00D623BF">
      <w:pPr>
        <w:spacing w:before="240"/>
        <w:rPr>
          <w:rFonts w:ascii="Arial" w:hAnsi="Arial" w:cs="Arial"/>
          <w:sz w:val="22"/>
          <w:szCs w:val="22"/>
        </w:rPr>
      </w:pPr>
    </w:p>
    <w:p w14:paraId="6CE994C9" w14:textId="77777777" w:rsidR="00D623BF" w:rsidRPr="00BD46D8" w:rsidRDefault="00D623BF" w:rsidP="00D623BF">
      <w:pPr>
        <w:widowControl w:val="0"/>
        <w:autoSpaceDE w:val="0"/>
        <w:autoSpaceDN w:val="0"/>
        <w:adjustRightInd w:val="0"/>
        <w:ind w:left="2268"/>
        <w:rPr>
          <w:rFonts w:ascii="Arial" w:eastAsia="Calibri" w:hAnsi="Arial" w:cs="Arial"/>
          <w:sz w:val="16"/>
          <w:szCs w:val="16"/>
          <w:lang w:val="en-US"/>
        </w:rPr>
      </w:pPr>
      <w:r w:rsidRPr="00BD46D8">
        <w:rPr>
          <w:rFonts w:ascii="Arial" w:eastAsia="Calibri" w:hAnsi="Arial" w:cs="Arial"/>
          <w:sz w:val="16"/>
          <w:szCs w:val="16"/>
          <w:lang w:val="en-US"/>
        </w:rPr>
        <w:t>Art. 8º Para a aquisição, contratação e alteração de contratos e instrumentos congêneres, inclusive autorizações para fornecimento de materiais, serviços e obras, os órgãos e as entidades devem encaminhar solicitação por meio do Módulo GGG do SIGEF, observando os procedimentos nele estabelecidos e o disposto no § 1º do art. 10 e no § 1º do art. 12 deste Decreto.</w:t>
      </w:r>
    </w:p>
    <w:p w14:paraId="57FDDECD" w14:textId="77777777" w:rsidR="00D623BF" w:rsidRPr="00BD46D8" w:rsidRDefault="00D623BF" w:rsidP="00D623BF">
      <w:pPr>
        <w:widowControl w:val="0"/>
        <w:autoSpaceDE w:val="0"/>
        <w:autoSpaceDN w:val="0"/>
        <w:adjustRightInd w:val="0"/>
        <w:ind w:left="2268"/>
        <w:rPr>
          <w:rFonts w:ascii="Arial" w:eastAsia="Calibri" w:hAnsi="Arial" w:cs="Arial"/>
          <w:sz w:val="16"/>
          <w:szCs w:val="16"/>
          <w:lang w:val="en-US"/>
        </w:rPr>
      </w:pPr>
    </w:p>
    <w:p w14:paraId="41593B02" w14:textId="77777777" w:rsidR="00D623BF" w:rsidRPr="00BD46D8" w:rsidRDefault="00D623BF" w:rsidP="00D623BF">
      <w:pPr>
        <w:widowControl w:val="0"/>
        <w:autoSpaceDE w:val="0"/>
        <w:autoSpaceDN w:val="0"/>
        <w:adjustRightInd w:val="0"/>
        <w:ind w:left="2268"/>
        <w:rPr>
          <w:rFonts w:ascii="Arial" w:eastAsia="Calibri" w:hAnsi="Arial" w:cs="Arial"/>
          <w:sz w:val="16"/>
          <w:szCs w:val="16"/>
          <w:lang w:val="en-US"/>
        </w:rPr>
      </w:pPr>
      <w:r w:rsidRPr="00BD46D8">
        <w:rPr>
          <w:rFonts w:ascii="Arial" w:eastAsia="Calibri" w:hAnsi="Arial" w:cs="Arial"/>
          <w:sz w:val="16"/>
          <w:szCs w:val="16"/>
          <w:lang w:val="en-US"/>
        </w:rPr>
        <w:t xml:space="preserve">§ 1º Nas aquisições de materiais e serviços, a solicitação mencionada no caput deste artigo deve se dar por meio do preenchimento da </w:t>
      </w:r>
      <w:r w:rsidRPr="00F40C52">
        <w:rPr>
          <w:rFonts w:ascii="Arial" w:eastAsia="Calibri" w:hAnsi="Arial" w:cs="Arial"/>
          <w:b/>
          <w:sz w:val="16"/>
          <w:szCs w:val="16"/>
          <w:lang w:val="en-US"/>
        </w:rPr>
        <w:t>Requisição de Compras do Sistema webLIC.</w:t>
      </w:r>
    </w:p>
    <w:p w14:paraId="1739A215" w14:textId="77777777" w:rsidR="00D623BF" w:rsidRDefault="00D623BF" w:rsidP="00D623BF">
      <w:pPr>
        <w:spacing w:before="240"/>
        <w:ind w:firstLine="851"/>
        <w:rPr>
          <w:rFonts w:ascii="Arial" w:hAnsi="Arial" w:cs="Arial"/>
          <w:sz w:val="22"/>
          <w:szCs w:val="22"/>
        </w:rPr>
      </w:pPr>
      <w:r>
        <w:rPr>
          <w:rFonts w:ascii="Arial" w:hAnsi="Arial" w:cs="Arial"/>
          <w:sz w:val="22"/>
          <w:szCs w:val="22"/>
        </w:rPr>
        <w:t>A Instrução Normativa SEA n. 024/2020 define o webLIC como o sistema oficial para registro de todos os processos licitatórios, incluindo as contratações por dispensa e inexigibilidade de licitação, nos seguintes termos:</w:t>
      </w:r>
    </w:p>
    <w:p w14:paraId="190BB7C1" w14:textId="77777777" w:rsidR="00D623BF" w:rsidRDefault="00D623BF" w:rsidP="00D623BF">
      <w:pPr>
        <w:widowControl w:val="0"/>
        <w:autoSpaceDE w:val="0"/>
        <w:autoSpaceDN w:val="0"/>
        <w:adjustRightInd w:val="0"/>
        <w:ind w:left="2268"/>
        <w:rPr>
          <w:rFonts w:ascii="Arial" w:eastAsia="Calibri" w:hAnsi="Arial" w:cs="Arial"/>
          <w:sz w:val="16"/>
          <w:szCs w:val="16"/>
          <w:lang w:val="en-US"/>
        </w:rPr>
      </w:pPr>
    </w:p>
    <w:p w14:paraId="71951C76" w14:textId="77777777" w:rsidR="00D623BF" w:rsidRDefault="00D623BF" w:rsidP="00D623BF">
      <w:pPr>
        <w:widowControl w:val="0"/>
        <w:autoSpaceDE w:val="0"/>
        <w:autoSpaceDN w:val="0"/>
        <w:adjustRightInd w:val="0"/>
        <w:ind w:left="2268"/>
        <w:rPr>
          <w:rFonts w:ascii="Arial" w:eastAsia="Calibri" w:hAnsi="Arial" w:cs="Arial"/>
          <w:sz w:val="16"/>
          <w:szCs w:val="16"/>
          <w:lang w:val="en-US"/>
        </w:rPr>
      </w:pPr>
      <w:r w:rsidRPr="00BD46D8">
        <w:rPr>
          <w:rFonts w:ascii="Arial" w:eastAsia="Calibri" w:hAnsi="Arial" w:cs="Arial"/>
          <w:sz w:val="16"/>
          <w:szCs w:val="16"/>
          <w:lang w:val="en-US"/>
        </w:rPr>
        <w:t>Art 2º. Fica estabelecido o WebLIC como o sistema informatizado oficial para registro de todos os processos licitatórios, incluindo as aquisições e contratações por dispensa e inexigibilidade de licitação, consoante Seção III do Capítulo IV do Decreto Estadual nº 2.617/2009.</w:t>
      </w:r>
    </w:p>
    <w:p w14:paraId="21F9E43E" w14:textId="77777777" w:rsidR="0053653B" w:rsidRPr="00BD46D8" w:rsidRDefault="0053653B" w:rsidP="00D623BF">
      <w:pPr>
        <w:widowControl w:val="0"/>
        <w:autoSpaceDE w:val="0"/>
        <w:autoSpaceDN w:val="0"/>
        <w:adjustRightInd w:val="0"/>
        <w:ind w:left="2268"/>
        <w:rPr>
          <w:rFonts w:ascii="Arial" w:eastAsia="Calibri" w:hAnsi="Arial" w:cs="Arial"/>
          <w:sz w:val="16"/>
          <w:szCs w:val="16"/>
          <w:lang w:val="en-US"/>
        </w:rPr>
      </w:pPr>
    </w:p>
    <w:p w14:paraId="0071C14C" w14:textId="77777777" w:rsidR="00D623BF" w:rsidRDefault="00D623BF" w:rsidP="00D623BF">
      <w:pPr>
        <w:widowControl w:val="0"/>
        <w:autoSpaceDE w:val="0"/>
        <w:autoSpaceDN w:val="0"/>
        <w:adjustRightInd w:val="0"/>
        <w:ind w:left="2268"/>
        <w:rPr>
          <w:rFonts w:ascii="Arial" w:eastAsia="Calibri" w:hAnsi="Arial" w:cs="Arial"/>
          <w:sz w:val="16"/>
          <w:szCs w:val="16"/>
          <w:lang w:val="en-US"/>
        </w:rPr>
      </w:pPr>
      <w:r w:rsidRPr="00BD46D8">
        <w:rPr>
          <w:rFonts w:ascii="Arial" w:eastAsia="Calibri" w:hAnsi="Arial" w:cs="Arial"/>
          <w:sz w:val="16"/>
          <w:szCs w:val="16"/>
          <w:lang w:val="en-US"/>
        </w:rPr>
        <w:t>§ 1º. É obrigatória a inclusão no WebLIC de todos os itens a serem contratados, acompanhados dos respectivos códigos de bens ou serviços constantes do NUC, gerando automaticamente a relação dos itens da licitação, que constituirá o anexo deitens do edital, quando for o caso.</w:t>
      </w:r>
    </w:p>
    <w:p w14:paraId="0AB5F478" w14:textId="77777777" w:rsidR="0053653B" w:rsidRPr="00BD46D8" w:rsidRDefault="0053653B" w:rsidP="00D623BF">
      <w:pPr>
        <w:widowControl w:val="0"/>
        <w:autoSpaceDE w:val="0"/>
        <w:autoSpaceDN w:val="0"/>
        <w:adjustRightInd w:val="0"/>
        <w:ind w:left="2268"/>
        <w:rPr>
          <w:rFonts w:ascii="Arial" w:eastAsia="Calibri" w:hAnsi="Arial" w:cs="Arial"/>
          <w:sz w:val="16"/>
          <w:szCs w:val="16"/>
          <w:lang w:val="en-US"/>
        </w:rPr>
      </w:pPr>
    </w:p>
    <w:p w14:paraId="27113FC7" w14:textId="77777777" w:rsidR="00D623BF" w:rsidRDefault="00D623BF" w:rsidP="00D623BF">
      <w:pPr>
        <w:widowControl w:val="0"/>
        <w:autoSpaceDE w:val="0"/>
        <w:autoSpaceDN w:val="0"/>
        <w:adjustRightInd w:val="0"/>
        <w:ind w:left="2268"/>
        <w:rPr>
          <w:rFonts w:ascii="Arial" w:eastAsia="Calibri" w:hAnsi="Arial" w:cs="Arial"/>
          <w:sz w:val="16"/>
          <w:szCs w:val="16"/>
          <w:lang w:val="en-US"/>
        </w:rPr>
      </w:pPr>
      <w:r w:rsidRPr="00BD46D8">
        <w:rPr>
          <w:rFonts w:ascii="Arial" w:eastAsia="Calibri" w:hAnsi="Arial" w:cs="Arial"/>
          <w:sz w:val="16"/>
          <w:szCs w:val="16"/>
          <w:lang w:val="en-US"/>
        </w:rPr>
        <w:t>§ 2º. Sem prejuízo do disposto no inciso I do art. 21 da Lei nº 8.666, de 21 de junho</w:t>
      </w:r>
      <w:r>
        <w:rPr>
          <w:rFonts w:ascii="Arial" w:eastAsia="Calibri" w:hAnsi="Arial" w:cs="Arial"/>
          <w:sz w:val="16"/>
          <w:szCs w:val="16"/>
          <w:lang w:val="en-US"/>
        </w:rPr>
        <w:t xml:space="preserve"> </w:t>
      </w:r>
      <w:r w:rsidRPr="00BD46D8">
        <w:rPr>
          <w:rFonts w:ascii="Arial" w:eastAsia="Calibri" w:hAnsi="Arial" w:cs="Arial"/>
          <w:sz w:val="16"/>
          <w:szCs w:val="16"/>
          <w:lang w:val="en-US"/>
        </w:rPr>
        <w:t>de 1993, os avisos de licitação, bem como as suas alterações, revogações ou anulações, os resultados parciais ou finais, deverão ser publicados no Portal de Compras de Santa Catarina.</w:t>
      </w:r>
      <w:r>
        <w:rPr>
          <w:rFonts w:ascii="Arial" w:eastAsia="Calibri" w:hAnsi="Arial" w:cs="Arial"/>
          <w:sz w:val="16"/>
          <w:szCs w:val="16"/>
          <w:lang w:val="en-US"/>
        </w:rPr>
        <w:t xml:space="preserve"> </w:t>
      </w:r>
      <w:r w:rsidRPr="00BD46D8">
        <w:rPr>
          <w:rFonts w:ascii="Arial" w:eastAsia="Calibri" w:hAnsi="Arial" w:cs="Arial"/>
          <w:sz w:val="16"/>
          <w:szCs w:val="16"/>
          <w:lang w:val="en-US"/>
        </w:rPr>
        <w:t>(…)</w:t>
      </w:r>
    </w:p>
    <w:p w14:paraId="5BC86D7D" w14:textId="77777777" w:rsidR="00D623BF" w:rsidRPr="00BD46D8" w:rsidRDefault="00D623BF" w:rsidP="00D623BF">
      <w:pPr>
        <w:widowControl w:val="0"/>
        <w:autoSpaceDE w:val="0"/>
        <w:autoSpaceDN w:val="0"/>
        <w:adjustRightInd w:val="0"/>
        <w:ind w:left="2268"/>
        <w:rPr>
          <w:rFonts w:ascii="Arial" w:eastAsia="Calibri" w:hAnsi="Arial" w:cs="Arial"/>
          <w:sz w:val="16"/>
          <w:szCs w:val="16"/>
          <w:lang w:val="en-US"/>
        </w:rPr>
      </w:pPr>
    </w:p>
    <w:p w14:paraId="331D4298" w14:textId="77777777" w:rsidR="00D623BF" w:rsidRDefault="00D623BF" w:rsidP="00D623BF">
      <w:pPr>
        <w:widowControl w:val="0"/>
        <w:autoSpaceDE w:val="0"/>
        <w:autoSpaceDN w:val="0"/>
        <w:adjustRightInd w:val="0"/>
        <w:ind w:left="2268"/>
        <w:rPr>
          <w:rFonts w:ascii="Arial" w:eastAsia="Calibri" w:hAnsi="Arial" w:cs="Arial"/>
          <w:sz w:val="16"/>
          <w:szCs w:val="16"/>
          <w:lang w:val="en-US"/>
        </w:rPr>
      </w:pPr>
      <w:r w:rsidRPr="00BD46D8">
        <w:rPr>
          <w:rFonts w:ascii="Arial" w:eastAsia="Calibri" w:hAnsi="Arial" w:cs="Arial"/>
          <w:sz w:val="16"/>
          <w:szCs w:val="16"/>
          <w:lang w:val="en-US"/>
        </w:rPr>
        <w:t>Art 4º. O registro dos processos licitatórios no sistema WebLIC envolverá as seguintes etapas:</w:t>
      </w:r>
    </w:p>
    <w:p w14:paraId="01706030" w14:textId="77777777" w:rsidR="0053653B" w:rsidRPr="00BD46D8" w:rsidRDefault="0053653B" w:rsidP="00D623BF">
      <w:pPr>
        <w:widowControl w:val="0"/>
        <w:autoSpaceDE w:val="0"/>
        <w:autoSpaceDN w:val="0"/>
        <w:adjustRightInd w:val="0"/>
        <w:ind w:left="2268"/>
        <w:rPr>
          <w:rFonts w:ascii="Arial" w:eastAsia="Calibri" w:hAnsi="Arial" w:cs="Arial"/>
          <w:sz w:val="16"/>
          <w:szCs w:val="16"/>
          <w:lang w:val="en-US"/>
        </w:rPr>
      </w:pPr>
    </w:p>
    <w:p w14:paraId="04908BDA" w14:textId="77777777" w:rsidR="00D623BF" w:rsidRDefault="00D623BF" w:rsidP="00D623BF">
      <w:pPr>
        <w:widowControl w:val="0"/>
        <w:autoSpaceDE w:val="0"/>
        <w:autoSpaceDN w:val="0"/>
        <w:adjustRightInd w:val="0"/>
        <w:ind w:left="2268"/>
        <w:rPr>
          <w:rFonts w:ascii="Arial" w:eastAsia="Calibri" w:hAnsi="Arial" w:cs="Arial"/>
          <w:sz w:val="16"/>
          <w:szCs w:val="16"/>
          <w:lang w:val="en-US"/>
        </w:rPr>
      </w:pPr>
      <w:r w:rsidRPr="00BD46D8">
        <w:rPr>
          <w:rFonts w:ascii="Arial" w:eastAsia="Calibri" w:hAnsi="Arial" w:cs="Arial"/>
          <w:sz w:val="16"/>
          <w:szCs w:val="16"/>
          <w:lang w:val="en-US"/>
        </w:rPr>
        <w:t>I - Elaboração do Pedido de Aquisição (PA): informações básicas para início do cadastro, como número do processo digital cadastrado no Sistema de Gestão de Processos Eletrônicos (SGP-e), código do item com a quantidade a ser adquirida e, se disponível, valor de referência e informações orçamentárias. Deverá ser elaborado pelo servidor ou colaborador do setor demandante do objeto a ser licitado;</w:t>
      </w:r>
    </w:p>
    <w:p w14:paraId="15BBC450" w14:textId="77777777" w:rsidR="0053653B" w:rsidRPr="00BD46D8" w:rsidRDefault="0053653B" w:rsidP="00D623BF">
      <w:pPr>
        <w:widowControl w:val="0"/>
        <w:autoSpaceDE w:val="0"/>
        <w:autoSpaceDN w:val="0"/>
        <w:adjustRightInd w:val="0"/>
        <w:ind w:left="2268"/>
        <w:rPr>
          <w:rFonts w:ascii="Arial" w:eastAsia="Calibri" w:hAnsi="Arial" w:cs="Arial"/>
          <w:sz w:val="16"/>
          <w:szCs w:val="16"/>
          <w:lang w:val="en-US"/>
        </w:rPr>
      </w:pPr>
    </w:p>
    <w:p w14:paraId="373366D9" w14:textId="2BCADE01" w:rsidR="00D623BF" w:rsidRDefault="00D623BF" w:rsidP="0053653B">
      <w:pPr>
        <w:widowControl w:val="0"/>
        <w:autoSpaceDE w:val="0"/>
        <w:autoSpaceDN w:val="0"/>
        <w:adjustRightInd w:val="0"/>
        <w:ind w:left="2268"/>
        <w:rPr>
          <w:rFonts w:ascii="Arial" w:eastAsia="Calibri" w:hAnsi="Arial" w:cs="Arial"/>
          <w:sz w:val="16"/>
          <w:szCs w:val="16"/>
          <w:lang w:val="en-US"/>
        </w:rPr>
      </w:pPr>
      <w:r w:rsidRPr="00F40C52">
        <w:rPr>
          <w:rFonts w:ascii="Arial" w:eastAsia="Calibri" w:hAnsi="Arial" w:cs="Arial"/>
          <w:b/>
          <w:sz w:val="16"/>
          <w:szCs w:val="16"/>
          <w:lang w:val="en-US"/>
        </w:rPr>
        <w:t>II - Elaboração da Requisição:</w:t>
      </w:r>
      <w:r w:rsidRPr="00BD46D8">
        <w:rPr>
          <w:rFonts w:ascii="Arial" w:eastAsia="Calibri" w:hAnsi="Arial" w:cs="Arial"/>
          <w:sz w:val="16"/>
          <w:szCs w:val="16"/>
          <w:lang w:val="en-US"/>
        </w:rPr>
        <w:t xml:space="preserve"> seleção de um ou mais pedidos de aquisição, agrupando as informações previamente alimentadas. Neste momento, as </w:t>
      </w:r>
      <w:r w:rsidRPr="00F40C52">
        <w:rPr>
          <w:rFonts w:ascii="Arial" w:eastAsia="Calibri" w:hAnsi="Arial" w:cs="Arial"/>
          <w:b/>
          <w:sz w:val="16"/>
          <w:szCs w:val="16"/>
          <w:lang w:val="en-US"/>
        </w:rPr>
        <w:t>informações orçamentárias e valor de referência passam a ser obrigatórias, para que, ainda na elaboração da requisição, seja realizado de forma automática o pré</w:t>
      </w:r>
      <w:r w:rsidR="0053653B">
        <w:rPr>
          <w:rFonts w:ascii="Arial" w:eastAsia="Calibri" w:hAnsi="Arial" w:cs="Arial"/>
          <w:b/>
          <w:sz w:val="16"/>
          <w:szCs w:val="16"/>
          <w:lang w:val="en-US"/>
        </w:rPr>
        <w:t>-</w:t>
      </w:r>
      <w:r w:rsidRPr="00F40C52">
        <w:rPr>
          <w:rFonts w:ascii="Arial" w:eastAsia="Calibri" w:hAnsi="Arial" w:cs="Arial"/>
          <w:b/>
          <w:sz w:val="16"/>
          <w:szCs w:val="16"/>
          <w:lang w:val="en-US"/>
        </w:rPr>
        <w:t>empenho</w:t>
      </w:r>
      <w:r w:rsidR="0053653B">
        <w:rPr>
          <w:rFonts w:ascii="Arial" w:eastAsia="Calibri" w:hAnsi="Arial" w:cs="Arial"/>
          <w:sz w:val="16"/>
          <w:szCs w:val="16"/>
          <w:lang w:val="en-US"/>
        </w:rPr>
        <w:t xml:space="preserve"> </w:t>
      </w:r>
      <w:r w:rsidRPr="00BD46D8">
        <w:rPr>
          <w:rFonts w:ascii="Arial" w:eastAsia="Calibri" w:hAnsi="Arial" w:cs="Arial"/>
          <w:sz w:val="16"/>
          <w:szCs w:val="16"/>
          <w:lang w:val="en-US"/>
        </w:rPr>
        <w:t>do valor total estimado e o envio das informações para deliberação do Grupo Gestor de Governo. Esta operação será realizada por servidor da área de compras e/ou licitações;</w:t>
      </w:r>
    </w:p>
    <w:p w14:paraId="20B384C9" w14:textId="77777777" w:rsidR="0053653B" w:rsidRPr="00BD46D8" w:rsidRDefault="0053653B" w:rsidP="0053653B">
      <w:pPr>
        <w:widowControl w:val="0"/>
        <w:autoSpaceDE w:val="0"/>
        <w:autoSpaceDN w:val="0"/>
        <w:adjustRightInd w:val="0"/>
        <w:ind w:left="2268"/>
        <w:rPr>
          <w:rFonts w:ascii="Arial" w:eastAsia="Calibri" w:hAnsi="Arial" w:cs="Arial"/>
          <w:sz w:val="16"/>
          <w:szCs w:val="16"/>
          <w:lang w:val="en-US"/>
        </w:rPr>
      </w:pPr>
    </w:p>
    <w:p w14:paraId="49FD61BB" w14:textId="77777777" w:rsidR="00D623BF" w:rsidRPr="00F40C52" w:rsidRDefault="00D623BF" w:rsidP="00D623BF">
      <w:pPr>
        <w:widowControl w:val="0"/>
        <w:autoSpaceDE w:val="0"/>
        <w:autoSpaceDN w:val="0"/>
        <w:adjustRightInd w:val="0"/>
        <w:ind w:left="2268"/>
        <w:rPr>
          <w:rFonts w:ascii="Arial" w:eastAsia="Calibri" w:hAnsi="Arial" w:cs="Arial"/>
          <w:sz w:val="16"/>
          <w:szCs w:val="16"/>
          <w:lang w:val="en-US"/>
        </w:rPr>
      </w:pPr>
      <w:r w:rsidRPr="00BD46D8">
        <w:rPr>
          <w:rFonts w:ascii="Arial" w:eastAsia="Calibri" w:hAnsi="Arial" w:cs="Arial"/>
          <w:sz w:val="16"/>
          <w:szCs w:val="16"/>
          <w:lang w:val="en-US"/>
        </w:rPr>
        <w:t>III - Montagem do Processo: definições finais do processo. Deve-se informar o tipo e modalidade de licitação, bem como toda parametrização de prazos, equipe de pregão e aplicações legais (Leis nº 123/2006 e 147/2014). Por fim, deve-se alimentar o sistema com todos os documentos pertinentes (edital e anexos) e finalizar o processo com a publicação do aviso de licitação, documento que se torna disponível após todas as etapas devidamente cumpridas no sistema. Esta operação sera realizada por servidor da área de licitações.</w:t>
      </w:r>
    </w:p>
    <w:p w14:paraId="189B270A" w14:textId="77777777" w:rsidR="00D623BF" w:rsidRPr="00F40C52" w:rsidRDefault="00D623BF" w:rsidP="00D623BF">
      <w:pPr>
        <w:spacing w:before="240"/>
        <w:ind w:firstLine="851"/>
        <w:rPr>
          <w:rFonts w:ascii="Arial" w:hAnsi="Arial" w:cs="Arial"/>
          <w:sz w:val="22"/>
          <w:szCs w:val="22"/>
        </w:rPr>
      </w:pPr>
      <w:r>
        <w:rPr>
          <w:rFonts w:ascii="Arial" w:hAnsi="Arial" w:cs="Arial"/>
          <w:sz w:val="22"/>
          <w:szCs w:val="22"/>
        </w:rPr>
        <w:t>Observa-se que, e</w:t>
      </w:r>
      <w:r w:rsidRPr="00F40C52">
        <w:rPr>
          <w:rFonts w:ascii="Arial" w:hAnsi="Arial" w:cs="Arial"/>
          <w:sz w:val="22"/>
          <w:szCs w:val="22"/>
        </w:rPr>
        <w:t>mbora o preenchimento da Requisição no Sistema Weblic permaneça obr</w:t>
      </w:r>
      <w:r>
        <w:rPr>
          <w:rFonts w:ascii="Arial" w:hAnsi="Arial" w:cs="Arial"/>
          <w:sz w:val="22"/>
          <w:szCs w:val="22"/>
        </w:rPr>
        <w:t>igatório, a Resolução</w:t>
      </w:r>
      <w:r w:rsidRPr="00F40C52">
        <w:rPr>
          <w:rFonts w:ascii="Arial" w:hAnsi="Arial" w:cs="Arial"/>
          <w:sz w:val="22"/>
          <w:szCs w:val="22"/>
        </w:rPr>
        <w:t xml:space="preserve"> GGG nº 003/2021 dispensou a necessidade de autorização do </w:t>
      </w:r>
      <w:r>
        <w:rPr>
          <w:rFonts w:ascii="Arial" w:hAnsi="Arial" w:cs="Arial"/>
          <w:sz w:val="22"/>
          <w:szCs w:val="22"/>
        </w:rPr>
        <w:t>Grupo Gestor de Governo</w:t>
      </w:r>
      <w:r w:rsidRPr="00F40C52">
        <w:rPr>
          <w:rFonts w:ascii="Arial" w:hAnsi="Arial" w:cs="Arial"/>
          <w:sz w:val="22"/>
          <w:szCs w:val="22"/>
        </w:rPr>
        <w:t xml:space="preserve"> nos </w:t>
      </w:r>
      <w:r>
        <w:rPr>
          <w:rFonts w:ascii="Arial" w:hAnsi="Arial" w:cs="Arial"/>
          <w:sz w:val="22"/>
          <w:szCs w:val="22"/>
        </w:rPr>
        <w:t xml:space="preserve">seguintes </w:t>
      </w:r>
      <w:r w:rsidRPr="00F40C52">
        <w:rPr>
          <w:rFonts w:ascii="Arial" w:hAnsi="Arial" w:cs="Arial"/>
          <w:sz w:val="22"/>
          <w:szCs w:val="22"/>
        </w:rPr>
        <w:t xml:space="preserve">processos: </w:t>
      </w:r>
    </w:p>
    <w:p w14:paraId="133577E3" w14:textId="77777777" w:rsidR="00D623BF" w:rsidRPr="00682484" w:rsidRDefault="00D623BF" w:rsidP="00D623BF">
      <w:pPr>
        <w:ind w:left="448"/>
        <w:rPr>
          <w:rFonts w:ascii="Arial" w:hAnsi="Arial" w:cs="Arial"/>
          <w:color w:val="000000"/>
          <w:sz w:val="16"/>
          <w:szCs w:val="16"/>
        </w:rPr>
      </w:pPr>
    </w:p>
    <w:p w14:paraId="0544FD5C" w14:textId="77777777" w:rsidR="00D92918" w:rsidRDefault="00D92918" w:rsidP="00D623BF">
      <w:pPr>
        <w:widowControl w:val="0"/>
        <w:autoSpaceDE w:val="0"/>
        <w:autoSpaceDN w:val="0"/>
        <w:adjustRightInd w:val="0"/>
        <w:ind w:left="2268"/>
        <w:rPr>
          <w:rFonts w:ascii="Arial" w:eastAsia="Calibri" w:hAnsi="Arial" w:cs="Arial"/>
          <w:sz w:val="16"/>
          <w:szCs w:val="16"/>
          <w:lang w:val="en-US"/>
        </w:rPr>
      </w:pPr>
      <w:r w:rsidRPr="00D92918">
        <w:rPr>
          <w:rFonts w:ascii="Arial" w:eastAsia="Calibri" w:hAnsi="Arial" w:cs="Arial"/>
          <w:sz w:val="16"/>
          <w:szCs w:val="16"/>
          <w:lang w:val="en-US"/>
        </w:rPr>
        <w:t>Art. 1</w:t>
      </w:r>
      <w:r w:rsidRPr="00D92918">
        <w:rPr>
          <w:rFonts w:ascii="Arial" w:eastAsia="Calibri" w:hAnsi="Arial" w:cs="Arial"/>
          <w:sz w:val="16"/>
          <w:szCs w:val="16"/>
          <w:vertAlign w:val="superscript"/>
          <w:lang w:val="en-US"/>
        </w:rPr>
        <w:t>o</w:t>
      </w:r>
      <w:r w:rsidRPr="00D92918">
        <w:rPr>
          <w:rFonts w:ascii="Arial" w:eastAsia="Calibri" w:hAnsi="Arial" w:cs="Arial"/>
          <w:sz w:val="16"/>
          <w:szCs w:val="16"/>
          <w:lang w:val="en-US"/>
        </w:rPr>
        <w:t>. São dispensadas da prévia aprovação do Grupo Gestor de Governo (GGG), os processos:</w:t>
      </w:r>
    </w:p>
    <w:p w14:paraId="42B8673F" w14:textId="77777777" w:rsidR="00D92918" w:rsidRPr="00D92918" w:rsidRDefault="00D92918" w:rsidP="00D623BF">
      <w:pPr>
        <w:widowControl w:val="0"/>
        <w:autoSpaceDE w:val="0"/>
        <w:autoSpaceDN w:val="0"/>
        <w:adjustRightInd w:val="0"/>
        <w:ind w:left="2268"/>
        <w:rPr>
          <w:rFonts w:ascii="Arial" w:eastAsia="Calibri" w:hAnsi="Arial" w:cs="Arial"/>
          <w:sz w:val="16"/>
          <w:szCs w:val="16"/>
          <w:lang w:val="en-US"/>
        </w:rPr>
      </w:pPr>
      <w:r>
        <w:rPr>
          <w:rFonts w:ascii="Arial" w:eastAsia="Calibri" w:hAnsi="Arial" w:cs="Arial"/>
          <w:sz w:val="16"/>
          <w:szCs w:val="16"/>
          <w:lang w:val="en-US"/>
        </w:rPr>
        <w:t>(…)</w:t>
      </w:r>
    </w:p>
    <w:p w14:paraId="375DB7E6" w14:textId="77777777" w:rsidR="00D623BF" w:rsidRDefault="00D623BF" w:rsidP="00D623BF">
      <w:pPr>
        <w:widowControl w:val="0"/>
        <w:autoSpaceDE w:val="0"/>
        <w:autoSpaceDN w:val="0"/>
        <w:adjustRightInd w:val="0"/>
        <w:ind w:left="2268"/>
        <w:rPr>
          <w:rFonts w:ascii="Arial" w:eastAsia="Calibri" w:hAnsi="Arial" w:cs="Arial"/>
          <w:b/>
          <w:sz w:val="16"/>
          <w:szCs w:val="16"/>
          <w:lang w:val="en-US"/>
        </w:rPr>
      </w:pPr>
      <w:r w:rsidRPr="00112584">
        <w:rPr>
          <w:rFonts w:ascii="Arial" w:eastAsia="Calibri" w:hAnsi="Arial" w:cs="Arial"/>
          <w:b/>
          <w:sz w:val="16"/>
          <w:szCs w:val="16"/>
          <w:lang w:val="en-US"/>
        </w:rPr>
        <w:t>III – de aquisição de materiais e equipamentos da Secretaria de Estado da Saúde (SES) relacionados a atividade-fim do órgão;</w:t>
      </w:r>
    </w:p>
    <w:p w14:paraId="4F26B494" w14:textId="77777777" w:rsidR="0053653B" w:rsidRPr="00112584" w:rsidRDefault="0053653B" w:rsidP="00D623BF">
      <w:pPr>
        <w:widowControl w:val="0"/>
        <w:autoSpaceDE w:val="0"/>
        <w:autoSpaceDN w:val="0"/>
        <w:adjustRightInd w:val="0"/>
        <w:ind w:left="2268"/>
        <w:rPr>
          <w:rFonts w:ascii="Arial" w:eastAsia="Calibri" w:hAnsi="Arial" w:cs="Arial"/>
          <w:b/>
          <w:sz w:val="16"/>
          <w:szCs w:val="16"/>
          <w:lang w:val="en-US"/>
        </w:rPr>
      </w:pPr>
    </w:p>
    <w:p w14:paraId="2164CE7E" w14:textId="77777777" w:rsidR="00D623BF" w:rsidRDefault="00D623BF" w:rsidP="00D623BF">
      <w:pPr>
        <w:widowControl w:val="0"/>
        <w:autoSpaceDE w:val="0"/>
        <w:autoSpaceDN w:val="0"/>
        <w:adjustRightInd w:val="0"/>
        <w:ind w:left="2268"/>
        <w:rPr>
          <w:rFonts w:ascii="Arial" w:eastAsia="Calibri" w:hAnsi="Arial" w:cs="Arial"/>
          <w:sz w:val="16"/>
          <w:szCs w:val="16"/>
          <w:lang w:val="en-US"/>
        </w:rPr>
      </w:pPr>
      <w:r w:rsidRPr="00BD46D8">
        <w:rPr>
          <w:rFonts w:ascii="Arial" w:eastAsia="Calibri" w:hAnsi="Arial" w:cs="Arial"/>
          <w:sz w:val="16"/>
          <w:szCs w:val="16"/>
          <w:lang w:val="en-US"/>
        </w:rPr>
        <w:t>IV – de contratação de obras e serviços de engenharia quando realizadas com fundamento no inciso IV do art. 24 da Lei federal nº 8.666, de 1993, para o atendimento das atividades-fim dos seguintes órgãos:</w:t>
      </w:r>
    </w:p>
    <w:p w14:paraId="1AEA72E0" w14:textId="77777777" w:rsidR="0053653B" w:rsidRPr="00BD46D8" w:rsidRDefault="0053653B" w:rsidP="00D623BF">
      <w:pPr>
        <w:widowControl w:val="0"/>
        <w:autoSpaceDE w:val="0"/>
        <w:autoSpaceDN w:val="0"/>
        <w:adjustRightInd w:val="0"/>
        <w:ind w:left="2268"/>
        <w:rPr>
          <w:rFonts w:ascii="Arial" w:eastAsia="Calibri" w:hAnsi="Arial" w:cs="Arial"/>
          <w:sz w:val="16"/>
          <w:szCs w:val="16"/>
          <w:lang w:val="en-US"/>
        </w:rPr>
      </w:pPr>
    </w:p>
    <w:p w14:paraId="33528CBE" w14:textId="77777777" w:rsidR="00D92918" w:rsidRPr="00D92918" w:rsidRDefault="00D92918" w:rsidP="00D92918">
      <w:pPr>
        <w:widowControl w:val="0"/>
        <w:autoSpaceDE w:val="0"/>
        <w:autoSpaceDN w:val="0"/>
        <w:adjustRightInd w:val="0"/>
        <w:ind w:left="2268"/>
        <w:rPr>
          <w:rFonts w:ascii="Arial" w:eastAsia="Calibri" w:hAnsi="Arial" w:cs="Arial"/>
          <w:sz w:val="16"/>
          <w:szCs w:val="16"/>
          <w:lang w:val="en-US"/>
        </w:rPr>
      </w:pPr>
      <w:r w:rsidRPr="00D92918">
        <w:rPr>
          <w:rFonts w:ascii="Arial" w:eastAsia="Calibri" w:hAnsi="Arial" w:cs="Arial"/>
          <w:sz w:val="16"/>
          <w:szCs w:val="16"/>
          <w:lang w:val="en-US"/>
        </w:rPr>
        <w:t>a) Secretaria de Estado da Saúde (SES);</w:t>
      </w:r>
    </w:p>
    <w:p w14:paraId="00EE2E1E" w14:textId="77777777" w:rsidR="00D92918" w:rsidRPr="00D92918" w:rsidRDefault="00D92918" w:rsidP="00D92918">
      <w:pPr>
        <w:widowControl w:val="0"/>
        <w:autoSpaceDE w:val="0"/>
        <w:autoSpaceDN w:val="0"/>
        <w:adjustRightInd w:val="0"/>
        <w:ind w:left="2268"/>
        <w:rPr>
          <w:rFonts w:ascii="Arial" w:eastAsia="Calibri" w:hAnsi="Arial" w:cs="Arial"/>
          <w:sz w:val="16"/>
          <w:szCs w:val="16"/>
          <w:lang w:val="en-US"/>
        </w:rPr>
      </w:pPr>
      <w:r w:rsidRPr="00D92918">
        <w:rPr>
          <w:rFonts w:ascii="Arial" w:eastAsia="Calibri" w:hAnsi="Arial" w:cs="Arial"/>
          <w:sz w:val="16"/>
          <w:szCs w:val="16"/>
          <w:lang w:val="en-US"/>
        </w:rPr>
        <w:t>b) Secretaria de Estado da Infraestrutura e Mobilidade (SIE);</w:t>
      </w:r>
    </w:p>
    <w:p w14:paraId="4C6BE740" w14:textId="77777777" w:rsidR="00D92918" w:rsidRPr="00D92918" w:rsidRDefault="00D92918" w:rsidP="00D92918">
      <w:pPr>
        <w:widowControl w:val="0"/>
        <w:autoSpaceDE w:val="0"/>
        <w:autoSpaceDN w:val="0"/>
        <w:adjustRightInd w:val="0"/>
        <w:ind w:left="2268"/>
        <w:rPr>
          <w:rFonts w:ascii="Arial" w:eastAsia="Calibri" w:hAnsi="Arial" w:cs="Arial"/>
          <w:sz w:val="16"/>
          <w:szCs w:val="16"/>
          <w:lang w:val="en-US"/>
        </w:rPr>
      </w:pPr>
      <w:r w:rsidRPr="00D92918">
        <w:rPr>
          <w:rFonts w:ascii="Arial" w:eastAsia="Calibri" w:hAnsi="Arial" w:cs="Arial"/>
          <w:sz w:val="16"/>
          <w:szCs w:val="16"/>
          <w:lang w:val="en-US"/>
        </w:rPr>
        <w:t>c) Secretaria de Estado da Administração Prisional e Socioeducativa</w:t>
      </w:r>
      <w:r>
        <w:rPr>
          <w:rFonts w:ascii="Arial" w:eastAsia="Calibri" w:hAnsi="Arial" w:cs="Arial"/>
          <w:sz w:val="16"/>
          <w:szCs w:val="16"/>
          <w:lang w:val="en-US"/>
        </w:rPr>
        <w:t xml:space="preserve"> </w:t>
      </w:r>
      <w:r w:rsidRPr="00D92918">
        <w:rPr>
          <w:rFonts w:ascii="Arial" w:eastAsia="Calibri" w:hAnsi="Arial" w:cs="Arial"/>
          <w:sz w:val="16"/>
          <w:szCs w:val="16"/>
          <w:lang w:val="en-US"/>
        </w:rPr>
        <w:t>(SAP);</w:t>
      </w:r>
    </w:p>
    <w:p w14:paraId="62935E7C" w14:textId="77777777" w:rsidR="00D92918" w:rsidRDefault="00D92918" w:rsidP="00D92918">
      <w:pPr>
        <w:widowControl w:val="0"/>
        <w:autoSpaceDE w:val="0"/>
        <w:autoSpaceDN w:val="0"/>
        <w:adjustRightInd w:val="0"/>
        <w:ind w:left="2268"/>
        <w:rPr>
          <w:rFonts w:ascii="Arial" w:eastAsia="Calibri" w:hAnsi="Arial" w:cs="Arial"/>
          <w:sz w:val="16"/>
          <w:szCs w:val="16"/>
          <w:lang w:val="en-US"/>
        </w:rPr>
      </w:pPr>
      <w:r w:rsidRPr="00D92918">
        <w:rPr>
          <w:rFonts w:ascii="Arial" w:eastAsia="Calibri" w:hAnsi="Arial" w:cs="Arial"/>
          <w:sz w:val="16"/>
          <w:szCs w:val="16"/>
          <w:lang w:val="en-US"/>
        </w:rPr>
        <w:t>d) Defesa Civil (DC).</w:t>
      </w:r>
    </w:p>
    <w:p w14:paraId="2F45C9E7" w14:textId="77777777" w:rsidR="0053653B" w:rsidRPr="00D92918" w:rsidRDefault="0053653B" w:rsidP="00D92918">
      <w:pPr>
        <w:widowControl w:val="0"/>
        <w:autoSpaceDE w:val="0"/>
        <w:autoSpaceDN w:val="0"/>
        <w:adjustRightInd w:val="0"/>
        <w:ind w:left="2268"/>
        <w:rPr>
          <w:rFonts w:ascii="Arial" w:eastAsia="Calibri" w:hAnsi="Arial" w:cs="Arial"/>
          <w:sz w:val="16"/>
          <w:szCs w:val="16"/>
          <w:lang w:val="en-US"/>
        </w:rPr>
      </w:pPr>
    </w:p>
    <w:p w14:paraId="4A9CB75A" w14:textId="77777777" w:rsidR="00D623BF" w:rsidRDefault="00D623BF" w:rsidP="00D623BF">
      <w:pPr>
        <w:widowControl w:val="0"/>
        <w:autoSpaceDE w:val="0"/>
        <w:autoSpaceDN w:val="0"/>
        <w:adjustRightInd w:val="0"/>
        <w:ind w:left="2268"/>
        <w:rPr>
          <w:rFonts w:ascii="Arial" w:eastAsia="Calibri" w:hAnsi="Arial" w:cs="Arial"/>
          <w:sz w:val="16"/>
          <w:szCs w:val="16"/>
          <w:lang w:val="en-US"/>
        </w:rPr>
      </w:pPr>
      <w:r w:rsidRPr="00BD46D8">
        <w:rPr>
          <w:rFonts w:ascii="Arial" w:eastAsia="Calibri" w:hAnsi="Arial" w:cs="Arial"/>
          <w:sz w:val="16"/>
          <w:szCs w:val="16"/>
          <w:lang w:val="en-US"/>
        </w:rPr>
        <w:t>V – de contratação de obras e serviços de engenharia até R$ 200.000,00 (duzentos mil reais), desde que acompanhados de parecer da SIE, quando cabível, pré-empenho e não sejam vinculadas a recursos de convênio ou de operação de crédito;</w:t>
      </w:r>
    </w:p>
    <w:p w14:paraId="235F642F" w14:textId="77777777" w:rsidR="0053653B" w:rsidRPr="00BD46D8" w:rsidRDefault="0053653B" w:rsidP="00D623BF">
      <w:pPr>
        <w:widowControl w:val="0"/>
        <w:autoSpaceDE w:val="0"/>
        <w:autoSpaceDN w:val="0"/>
        <w:adjustRightInd w:val="0"/>
        <w:ind w:left="2268"/>
        <w:rPr>
          <w:rFonts w:ascii="Arial" w:eastAsia="Calibri" w:hAnsi="Arial" w:cs="Arial"/>
          <w:sz w:val="16"/>
          <w:szCs w:val="16"/>
          <w:lang w:val="en-US"/>
        </w:rPr>
      </w:pPr>
    </w:p>
    <w:p w14:paraId="7932DEA5" w14:textId="77777777" w:rsidR="00D623BF" w:rsidRPr="00BD46D8" w:rsidRDefault="00D623BF" w:rsidP="00D623BF">
      <w:pPr>
        <w:widowControl w:val="0"/>
        <w:autoSpaceDE w:val="0"/>
        <w:autoSpaceDN w:val="0"/>
        <w:adjustRightInd w:val="0"/>
        <w:ind w:left="2268"/>
        <w:rPr>
          <w:rFonts w:ascii="Arial" w:eastAsia="Calibri" w:hAnsi="Arial" w:cs="Arial"/>
          <w:sz w:val="16"/>
          <w:szCs w:val="16"/>
          <w:lang w:val="en-US"/>
        </w:rPr>
      </w:pPr>
      <w:r w:rsidRPr="00112584">
        <w:rPr>
          <w:rFonts w:ascii="Arial" w:eastAsia="Calibri" w:hAnsi="Arial" w:cs="Arial"/>
          <w:b/>
          <w:sz w:val="16"/>
          <w:szCs w:val="16"/>
          <w:lang w:val="en-US"/>
        </w:rPr>
        <w:t>VI – de contratação de serviços até R$ 1.000.000,00</w:t>
      </w:r>
      <w:r w:rsidRPr="00BD46D8">
        <w:rPr>
          <w:rFonts w:ascii="Arial" w:eastAsia="Calibri" w:hAnsi="Arial" w:cs="Arial"/>
          <w:sz w:val="16"/>
          <w:szCs w:val="16"/>
          <w:lang w:val="en-US"/>
        </w:rPr>
        <w:t>, não enquadrados como de engenharia, obras ou terceirizados, vedado o fracionamento da aquisição, desde que acompanhados de pré-empenho, não estejam vinculadas a recursos de convênio ou de operação de crédito e que sejam essenciais ao cumprimento das atividades-fim dos seguintes órgãos: </w:t>
      </w:r>
    </w:p>
    <w:p w14:paraId="2F944FD0" w14:textId="77777777" w:rsidR="00D92918" w:rsidRDefault="00D623BF" w:rsidP="00D92918">
      <w:pPr>
        <w:pStyle w:val="PargrafodaLista"/>
        <w:widowControl w:val="0"/>
        <w:numPr>
          <w:ilvl w:val="0"/>
          <w:numId w:val="3"/>
        </w:numPr>
        <w:autoSpaceDE w:val="0"/>
        <w:autoSpaceDN w:val="0"/>
        <w:adjustRightInd w:val="0"/>
        <w:rPr>
          <w:rFonts w:ascii="Arial" w:eastAsia="Calibri" w:hAnsi="Arial" w:cs="Arial"/>
          <w:sz w:val="16"/>
          <w:szCs w:val="16"/>
          <w:lang w:val="en-US"/>
        </w:rPr>
      </w:pPr>
      <w:r w:rsidRPr="00D92918">
        <w:rPr>
          <w:rFonts w:ascii="Arial" w:eastAsia="Calibri" w:hAnsi="Arial" w:cs="Arial"/>
          <w:sz w:val="16"/>
          <w:szCs w:val="16"/>
          <w:lang w:val="en-US"/>
        </w:rPr>
        <w:t>Secretaria de Estado da Saúde (SES);</w:t>
      </w:r>
    </w:p>
    <w:p w14:paraId="67C69961" w14:textId="77777777" w:rsidR="00D92918" w:rsidRDefault="00D92918" w:rsidP="00D92918">
      <w:pPr>
        <w:pStyle w:val="PargrafodaLista"/>
        <w:widowControl w:val="0"/>
        <w:numPr>
          <w:ilvl w:val="0"/>
          <w:numId w:val="3"/>
        </w:numPr>
        <w:autoSpaceDE w:val="0"/>
        <w:autoSpaceDN w:val="0"/>
        <w:adjustRightInd w:val="0"/>
        <w:rPr>
          <w:rFonts w:ascii="Arial" w:eastAsia="Calibri" w:hAnsi="Arial" w:cs="Arial"/>
          <w:sz w:val="16"/>
          <w:szCs w:val="16"/>
          <w:lang w:val="en-US"/>
        </w:rPr>
      </w:pPr>
      <w:r w:rsidRPr="00D92918">
        <w:rPr>
          <w:rFonts w:ascii="Arial" w:eastAsia="Calibri" w:hAnsi="Arial" w:cs="Arial"/>
          <w:sz w:val="16"/>
          <w:szCs w:val="16"/>
          <w:lang w:val="en-US"/>
        </w:rPr>
        <w:t>Secretaria de Estado da Administração Prisional e Socioeducativa</w:t>
      </w:r>
      <w:r>
        <w:rPr>
          <w:rFonts w:ascii="Arial" w:eastAsia="Calibri" w:hAnsi="Arial" w:cs="Arial"/>
          <w:sz w:val="16"/>
          <w:szCs w:val="16"/>
          <w:lang w:val="en-US"/>
        </w:rPr>
        <w:t xml:space="preserve"> </w:t>
      </w:r>
      <w:r w:rsidRPr="00D92918">
        <w:rPr>
          <w:rFonts w:ascii="Arial" w:eastAsia="Calibri" w:hAnsi="Arial" w:cs="Arial"/>
          <w:sz w:val="16"/>
          <w:szCs w:val="16"/>
          <w:lang w:val="en-US"/>
        </w:rPr>
        <w:t>(SAP);</w:t>
      </w:r>
    </w:p>
    <w:p w14:paraId="17A7460E" w14:textId="77777777" w:rsidR="0053653B" w:rsidRDefault="0053653B" w:rsidP="0053653B">
      <w:pPr>
        <w:pStyle w:val="PargrafodaLista"/>
        <w:widowControl w:val="0"/>
        <w:autoSpaceDE w:val="0"/>
        <w:autoSpaceDN w:val="0"/>
        <w:adjustRightInd w:val="0"/>
        <w:ind w:left="2628"/>
        <w:rPr>
          <w:rFonts w:ascii="Arial" w:eastAsia="Calibri" w:hAnsi="Arial" w:cs="Arial"/>
          <w:sz w:val="16"/>
          <w:szCs w:val="16"/>
          <w:lang w:val="en-US"/>
        </w:rPr>
      </w:pPr>
    </w:p>
    <w:p w14:paraId="48F70EA1" w14:textId="77777777" w:rsidR="00D623BF" w:rsidRPr="00D92918" w:rsidRDefault="00D92918" w:rsidP="00D92918">
      <w:pPr>
        <w:widowControl w:val="0"/>
        <w:autoSpaceDE w:val="0"/>
        <w:autoSpaceDN w:val="0"/>
        <w:adjustRightInd w:val="0"/>
        <w:ind w:left="2268"/>
        <w:rPr>
          <w:rFonts w:ascii="Arial" w:eastAsia="Calibri" w:hAnsi="Arial" w:cs="Arial"/>
          <w:sz w:val="16"/>
          <w:szCs w:val="16"/>
          <w:lang w:val="en-US"/>
        </w:rPr>
      </w:pPr>
      <w:r w:rsidRPr="00D92918">
        <w:rPr>
          <w:rFonts w:ascii="Arial" w:eastAsia="Calibri" w:hAnsi="Arial" w:cs="Arial"/>
          <w:b/>
          <w:sz w:val="16"/>
          <w:szCs w:val="16"/>
          <w:lang w:val="en-US"/>
        </w:rPr>
        <w:t>VII – que tratem de autorização de fornecimento de atas de registros de preços</w:t>
      </w:r>
      <w:r>
        <w:rPr>
          <w:rFonts w:ascii="Arial" w:eastAsia="Calibri" w:hAnsi="Arial" w:cs="Arial"/>
          <w:sz w:val="16"/>
          <w:szCs w:val="16"/>
          <w:lang w:val="en-US"/>
        </w:rPr>
        <w:t xml:space="preserve"> de </w:t>
      </w:r>
      <w:r w:rsidRPr="00D92918">
        <w:rPr>
          <w:rFonts w:ascii="Arial" w:eastAsia="Calibri" w:hAnsi="Arial" w:cs="Arial"/>
          <w:sz w:val="16"/>
          <w:szCs w:val="16"/>
          <w:lang w:val="en-US"/>
        </w:rPr>
        <w:t>materiais e equipamentos no valor de até R$</w:t>
      </w:r>
      <w:r>
        <w:rPr>
          <w:rFonts w:ascii="Arial" w:eastAsia="Calibri" w:hAnsi="Arial" w:cs="Arial"/>
          <w:sz w:val="16"/>
          <w:szCs w:val="16"/>
          <w:lang w:val="en-US"/>
        </w:rPr>
        <w:t xml:space="preserve"> </w:t>
      </w:r>
      <w:r w:rsidRPr="00D92918">
        <w:rPr>
          <w:rFonts w:ascii="Arial" w:eastAsia="Calibri" w:hAnsi="Arial" w:cs="Arial"/>
          <w:sz w:val="16"/>
          <w:szCs w:val="16"/>
          <w:lang w:val="en-US"/>
        </w:rPr>
        <w:t>600.000,00 (seiscentos mil reais), desde qu</w:t>
      </w:r>
      <w:r>
        <w:rPr>
          <w:rFonts w:ascii="Arial" w:eastAsia="Calibri" w:hAnsi="Arial" w:cs="Arial"/>
          <w:sz w:val="16"/>
          <w:szCs w:val="16"/>
          <w:lang w:val="en-US"/>
        </w:rPr>
        <w:t xml:space="preserve">e </w:t>
      </w:r>
      <w:r w:rsidRPr="00D92918">
        <w:rPr>
          <w:rFonts w:ascii="Arial" w:eastAsia="Calibri" w:hAnsi="Arial" w:cs="Arial"/>
          <w:sz w:val="16"/>
          <w:szCs w:val="16"/>
          <w:lang w:val="en-US"/>
        </w:rPr>
        <w:t>possuam pré-empenho,</w:t>
      </w:r>
      <w:r>
        <w:rPr>
          <w:rFonts w:ascii="Arial" w:eastAsia="Calibri" w:hAnsi="Arial" w:cs="Arial"/>
          <w:sz w:val="16"/>
          <w:szCs w:val="16"/>
          <w:lang w:val="en-US"/>
        </w:rPr>
        <w:t xml:space="preserve"> </w:t>
      </w:r>
      <w:r w:rsidRPr="00D92918">
        <w:rPr>
          <w:rFonts w:ascii="Arial" w:eastAsia="Calibri" w:hAnsi="Arial" w:cs="Arial"/>
          <w:sz w:val="16"/>
          <w:szCs w:val="16"/>
          <w:lang w:val="en-US"/>
        </w:rPr>
        <w:t>salvo quando vinculados a recursos de convênio ou de</w:t>
      </w:r>
      <w:r>
        <w:rPr>
          <w:rFonts w:ascii="Arial" w:eastAsia="Calibri" w:hAnsi="Arial" w:cs="Arial"/>
          <w:sz w:val="16"/>
          <w:szCs w:val="16"/>
          <w:lang w:val="en-US"/>
        </w:rPr>
        <w:t xml:space="preserve"> </w:t>
      </w:r>
      <w:r w:rsidRPr="00D92918">
        <w:rPr>
          <w:rFonts w:ascii="Arial" w:eastAsia="Calibri" w:hAnsi="Arial" w:cs="Arial"/>
          <w:sz w:val="16"/>
          <w:szCs w:val="16"/>
          <w:lang w:val="en-US"/>
        </w:rPr>
        <w:t>operação de crédito;</w:t>
      </w:r>
    </w:p>
    <w:p w14:paraId="48F92203" w14:textId="77777777" w:rsidR="00D623BF" w:rsidRDefault="00D623BF" w:rsidP="00D623BF">
      <w:pPr>
        <w:spacing w:before="240"/>
        <w:ind w:firstLine="851"/>
        <w:rPr>
          <w:rFonts w:ascii="Arial" w:hAnsi="Arial" w:cs="Arial"/>
          <w:sz w:val="22"/>
          <w:szCs w:val="22"/>
        </w:rPr>
      </w:pPr>
      <w:r>
        <w:rPr>
          <w:rFonts w:ascii="Arial" w:hAnsi="Arial" w:cs="Arial"/>
          <w:sz w:val="22"/>
          <w:szCs w:val="22"/>
        </w:rPr>
        <w:t>Assim, é obrigatório o preenchimento da requisição de compras no sistema webLIC, devendo-se encaminhar corretamente as informações orçamentárias e o valor de referência da contratação</w:t>
      </w:r>
      <w:r w:rsidR="00D92918">
        <w:rPr>
          <w:rFonts w:ascii="Arial" w:hAnsi="Arial" w:cs="Arial"/>
          <w:sz w:val="22"/>
          <w:szCs w:val="22"/>
        </w:rPr>
        <w:t xml:space="preserve"> para registro</w:t>
      </w:r>
      <w:r w:rsidR="00706DB2">
        <w:rPr>
          <w:rFonts w:ascii="Arial" w:hAnsi="Arial" w:cs="Arial"/>
          <w:sz w:val="22"/>
          <w:szCs w:val="22"/>
        </w:rPr>
        <w:t xml:space="preserve"> no sistema</w:t>
      </w:r>
      <w:r>
        <w:rPr>
          <w:rFonts w:ascii="Arial" w:hAnsi="Arial" w:cs="Arial"/>
          <w:sz w:val="22"/>
          <w:szCs w:val="22"/>
        </w:rPr>
        <w:t>, inclusive nos casos de dispensa de licitação destinados ao enfrentamento à COVID-19.</w:t>
      </w:r>
    </w:p>
    <w:p w14:paraId="6BB7A487" w14:textId="77777777" w:rsidR="0053653B" w:rsidRPr="0021268B" w:rsidRDefault="0053653B" w:rsidP="00D623BF">
      <w:pPr>
        <w:spacing w:before="240"/>
        <w:ind w:firstLine="851"/>
        <w:rPr>
          <w:rFonts w:ascii="Arial" w:hAnsi="Arial" w:cs="Arial"/>
          <w:sz w:val="22"/>
          <w:szCs w:val="22"/>
        </w:rPr>
      </w:pPr>
    </w:p>
    <w:p w14:paraId="189A99AB" w14:textId="77777777" w:rsidR="00D623BF" w:rsidRPr="009C1C2D" w:rsidRDefault="00D623BF" w:rsidP="00D623BF">
      <w:pPr>
        <w:pStyle w:val="PargrafodaLista"/>
        <w:numPr>
          <w:ilvl w:val="0"/>
          <w:numId w:val="1"/>
        </w:numPr>
        <w:spacing w:before="240"/>
        <w:rPr>
          <w:rFonts w:ascii="Arial" w:hAnsi="Arial" w:cs="Arial"/>
          <w:sz w:val="22"/>
          <w:szCs w:val="22"/>
          <w:shd w:val="clear" w:color="auto" w:fill="F5F5F5"/>
        </w:rPr>
      </w:pPr>
      <w:r w:rsidRPr="009C1C2D">
        <w:rPr>
          <w:rFonts w:ascii="Arial" w:hAnsi="Arial" w:cs="Arial"/>
          <w:b/>
          <w:sz w:val="22"/>
          <w:szCs w:val="22"/>
        </w:rPr>
        <w:t>Conclusão</w:t>
      </w:r>
    </w:p>
    <w:p w14:paraId="7E060105" w14:textId="77777777" w:rsidR="00D623BF" w:rsidRDefault="00D623BF" w:rsidP="00D623BF">
      <w:pPr>
        <w:rPr>
          <w:rFonts w:ascii="Arial" w:hAnsi="Arial" w:cs="Arial"/>
          <w:sz w:val="22"/>
          <w:szCs w:val="22"/>
        </w:rPr>
      </w:pPr>
    </w:p>
    <w:p w14:paraId="47621D18" w14:textId="77777777" w:rsidR="00D623BF" w:rsidRPr="0021268B" w:rsidRDefault="00D623BF" w:rsidP="00D623BF">
      <w:pPr>
        <w:ind w:firstLine="851"/>
        <w:rPr>
          <w:rFonts w:ascii="Arial" w:hAnsi="Arial" w:cs="Arial"/>
          <w:sz w:val="22"/>
          <w:szCs w:val="22"/>
        </w:rPr>
      </w:pPr>
      <w:r w:rsidRPr="0021268B">
        <w:rPr>
          <w:rFonts w:ascii="Arial" w:hAnsi="Arial" w:cs="Arial"/>
          <w:sz w:val="22"/>
          <w:szCs w:val="22"/>
        </w:rPr>
        <w:t xml:space="preserve">Com base nos </w:t>
      </w:r>
      <w:r>
        <w:rPr>
          <w:rFonts w:ascii="Arial" w:hAnsi="Arial" w:cs="Arial"/>
          <w:sz w:val="22"/>
          <w:szCs w:val="22"/>
        </w:rPr>
        <w:t>normativos</w:t>
      </w:r>
      <w:r w:rsidRPr="0021268B">
        <w:rPr>
          <w:rFonts w:ascii="Arial" w:hAnsi="Arial" w:cs="Arial"/>
          <w:sz w:val="22"/>
          <w:szCs w:val="22"/>
        </w:rPr>
        <w:t xml:space="preserve"> supracitados, </w:t>
      </w:r>
      <w:r>
        <w:rPr>
          <w:rFonts w:ascii="Arial" w:hAnsi="Arial" w:cs="Arial"/>
          <w:sz w:val="22"/>
          <w:szCs w:val="22"/>
        </w:rPr>
        <w:t xml:space="preserve">e </w:t>
      </w:r>
      <w:r w:rsidRPr="0021268B">
        <w:rPr>
          <w:rFonts w:ascii="Arial" w:hAnsi="Arial" w:cs="Arial"/>
          <w:sz w:val="22"/>
          <w:szCs w:val="22"/>
        </w:rPr>
        <w:t xml:space="preserve">no que diz respeito à atual situação decorrente da pandemia </w:t>
      </w:r>
      <w:r>
        <w:rPr>
          <w:rFonts w:ascii="Arial" w:hAnsi="Arial" w:cs="Arial"/>
          <w:sz w:val="22"/>
          <w:szCs w:val="22"/>
        </w:rPr>
        <w:t>de coronavírus</w:t>
      </w:r>
      <w:r w:rsidRPr="0021268B">
        <w:rPr>
          <w:rFonts w:ascii="Arial" w:hAnsi="Arial" w:cs="Arial"/>
          <w:sz w:val="22"/>
          <w:szCs w:val="22"/>
        </w:rPr>
        <w:t xml:space="preserve">, apresentam-se, na sequência, </w:t>
      </w:r>
      <w:r>
        <w:rPr>
          <w:rFonts w:ascii="Arial" w:hAnsi="Arial" w:cs="Arial"/>
          <w:sz w:val="22"/>
          <w:szCs w:val="22"/>
        </w:rPr>
        <w:t xml:space="preserve">as listas de verificação </w:t>
      </w:r>
      <w:r w:rsidRPr="009C1C2D">
        <w:rPr>
          <w:rFonts w:ascii="Arial" w:hAnsi="Arial" w:cs="Arial"/>
          <w:sz w:val="22"/>
          <w:szCs w:val="22"/>
        </w:rPr>
        <w:t>a serem aplicadas</w:t>
      </w:r>
      <w:r>
        <w:rPr>
          <w:rFonts w:ascii="Arial" w:hAnsi="Arial" w:cs="Arial"/>
          <w:sz w:val="22"/>
          <w:szCs w:val="22"/>
        </w:rPr>
        <w:t xml:space="preserve"> pelos órgãos e entidades contratantes sobre </w:t>
      </w:r>
      <w:r w:rsidRPr="0021268B">
        <w:rPr>
          <w:rFonts w:ascii="Arial" w:hAnsi="Arial" w:cs="Arial"/>
          <w:sz w:val="22"/>
          <w:szCs w:val="22"/>
        </w:rPr>
        <w:t xml:space="preserve">os </w:t>
      </w:r>
      <w:r w:rsidRPr="00EA08B2">
        <w:rPr>
          <w:rFonts w:ascii="Arial" w:hAnsi="Arial" w:cs="Arial"/>
          <w:sz w:val="22"/>
          <w:szCs w:val="22"/>
        </w:rPr>
        <w:t xml:space="preserve">principais procedimentos </w:t>
      </w:r>
      <w:r>
        <w:rPr>
          <w:rFonts w:ascii="Arial" w:hAnsi="Arial" w:cs="Arial"/>
          <w:sz w:val="22"/>
          <w:szCs w:val="22"/>
        </w:rPr>
        <w:t>relacionados às aquisições e</w:t>
      </w:r>
      <w:r w:rsidRPr="00EA08B2">
        <w:rPr>
          <w:rFonts w:ascii="Arial" w:hAnsi="Arial" w:cs="Arial"/>
          <w:sz w:val="22"/>
          <w:szCs w:val="22"/>
        </w:rPr>
        <w:t xml:space="preserve"> contratações </w:t>
      </w:r>
      <w:r>
        <w:rPr>
          <w:rFonts w:ascii="Arial" w:hAnsi="Arial" w:cs="Arial"/>
          <w:sz w:val="22"/>
          <w:szCs w:val="22"/>
        </w:rPr>
        <w:t>destinadas ao enfrentamento da COVID-19 e à vacinação</w:t>
      </w:r>
      <w:r w:rsidRPr="0021268B">
        <w:rPr>
          <w:rFonts w:ascii="Arial" w:hAnsi="Arial" w:cs="Arial"/>
          <w:sz w:val="22"/>
          <w:szCs w:val="22"/>
        </w:rPr>
        <w:t xml:space="preserve"> no âmbito do Estado de Santa Catarina.</w:t>
      </w:r>
    </w:p>
    <w:p w14:paraId="1A02FA5D" w14:textId="77777777" w:rsidR="00D623BF" w:rsidRPr="0021268B" w:rsidRDefault="00D623BF" w:rsidP="00D623BF">
      <w:pPr>
        <w:tabs>
          <w:tab w:val="left" w:pos="851"/>
        </w:tabs>
        <w:jc w:val="left"/>
        <w:rPr>
          <w:rFonts w:ascii="Arial" w:hAnsi="Arial" w:cs="Arial"/>
          <w:b/>
          <w:sz w:val="22"/>
          <w:szCs w:val="22"/>
        </w:rPr>
      </w:pPr>
    </w:p>
    <w:p w14:paraId="7F4B70B0" w14:textId="77777777" w:rsidR="00D623BF" w:rsidRDefault="00D623BF" w:rsidP="00D623BF">
      <w:pPr>
        <w:tabs>
          <w:tab w:val="left" w:pos="851"/>
        </w:tabs>
        <w:jc w:val="left"/>
        <w:rPr>
          <w:rFonts w:ascii="Arial" w:hAnsi="Arial" w:cs="Arial"/>
          <w:b/>
          <w:sz w:val="22"/>
          <w:szCs w:val="22"/>
        </w:rPr>
      </w:pPr>
    </w:p>
    <w:p w14:paraId="0C2F04E7" w14:textId="77777777" w:rsidR="00D623BF" w:rsidRDefault="00D623BF" w:rsidP="00D623BF">
      <w:pPr>
        <w:tabs>
          <w:tab w:val="left" w:pos="851"/>
        </w:tabs>
        <w:jc w:val="left"/>
        <w:rPr>
          <w:rFonts w:ascii="Arial" w:hAnsi="Arial" w:cs="Arial"/>
          <w:b/>
          <w:sz w:val="22"/>
          <w:szCs w:val="22"/>
        </w:rPr>
      </w:pPr>
    </w:p>
    <w:p w14:paraId="02DBDA3A" w14:textId="77777777" w:rsidR="00D623BF" w:rsidRPr="0021268B" w:rsidRDefault="00D623BF" w:rsidP="00D623BF">
      <w:pPr>
        <w:tabs>
          <w:tab w:val="left" w:pos="851"/>
        </w:tabs>
        <w:jc w:val="left"/>
        <w:rPr>
          <w:rFonts w:ascii="Arial" w:hAnsi="Arial" w:cs="Arial"/>
          <w:b/>
          <w:sz w:val="22"/>
          <w:szCs w:val="22"/>
        </w:rPr>
      </w:pPr>
    </w:p>
    <w:p w14:paraId="474FA169" w14:textId="51F44E4C" w:rsidR="00D623BF" w:rsidRPr="0021268B" w:rsidRDefault="00C2605C" w:rsidP="00D623BF">
      <w:pPr>
        <w:tabs>
          <w:tab w:val="left" w:pos="851"/>
        </w:tabs>
        <w:jc w:val="left"/>
        <w:rPr>
          <w:rFonts w:ascii="Arial" w:hAnsi="Arial" w:cs="Arial"/>
          <w:b/>
          <w:sz w:val="22"/>
          <w:szCs w:val="22"/>
        </w:rPr>
      </w:pPr>
      <w:r>
        <w:rPr>
          <w:rFonts w:ascii="Arial" w:hAnsi="Arial" w:cs="Arial"/>
          <w:b/>
          <w:sz w:val="22"/>
          <w:szCs w:val="22"/>
        </w:rPr>
        <w:t>ISADORA CASTELLI</w:t>
      </w:r>
    </w:p>
    <w:p w14:paraId="54F017C8" w14:textId="77777777" w:rsidR="00D623BF" w:rsidRPr="0021268B" w:rsidRDefault="00D623BF" w:rsidP="00D623BF">
      <w:pPr>
        <w:pStyle w:val="Corpodetexto"/>
        <w:ind w:right="215"/>
        <w:jc w:val="left"/>
        <w:rPr>
          <w:rFonts w:ascii="Arial" w:hAnsi="Arial" w:cs="Arial"/>
          <w:sz w:val="22"/>
          <w:szCs w:val="22"/>
        </w:rPr>
      </w:pPr>
      <w:r w:rsidRPr="0021268B">
        <w:rPr>
          <w:rFonts w:ascii="Arial" w:hAnsi="Arial" w:cs="Arial"/>
          <w:sz w:val="22"/>
          <w:szCs w:val="22"/>
        </w:rPr>
        <w:t>Auditora Interna do Poder Executivo</w:t>
      </w:r>
    </w:p>
    <w:p w14:paraId="19CD2DF3" w14:textId="72C38712" w:rsidR="00D623BF" w:rsidRPr="0021268B" w:rsidRDefault="00D623BF" w:rsidP="00D623BF">
      <w:pPr>
        <w:pStyle w:val="Corpodetexto"/>
        <w:ind w:right="215"/>
        <w:jc w:val="left"/>
        <w:rPr>
          <w:rFonts w:ascii="Arial" w:hAnsi="Arial" w:cs="Arial"/>
          <w:sz w:val="22"/>
          <w:szCs w:val="22"/>
        </w:rPr>
      </w:pPr>
      <w:r w:rsidRPr="0021268B">
        <w:rPr>
          <w:rFonts w:ascii="Arial" w:hAnsi="Arial" w:cs="Arial"/>
          <w:sz w:val="22"/>
          <w:szCs w:val="22"/>
        </w:rPr>
        <w:t xml:space="preserve">Matrícula nº </w:t>
      </w:r>
      <w:r w:rsidR="00C2605C">
        <w:rPr>
          <w:rFonts w:ascii="Arial" w:hAnsi="Arial" w:cs="Arial"/>
          <w:sz w:val="22"/>
          <w:szCs w:val="22"/>
        </w:rPr>
        <w:t>316.055</w:t>
      </w:r>
      <w:r>
        <w:rPr>
          <w:rFonts w:ascii="Arial" w:hAnsi="Arial" w:cs="Arial"/>
          <w:sz w:val="22"/>
          <w:szCs w:val="22"/>
        </w:rPr>
        <w:t>-6</w:t>
      </w:r>
    </w:p>
    <w:p w14:paraId="14EB83F0" w14:textId="26B1E18A" w:rsidR="00D623BF" w:rsidRDefault="00D623BF" w:rsidP="00D623BF">
      <w:pPr>
        <w:tabs>
          <w:tab w:val="left" w:pos="993"/>
        </w:tabs>
        <w:jc w:val="left"/>
        <w:rPr>
          <w:rFonts w:ascii="Arial" w:hAnsi="Arial" w:cs="Arial"/>
          <w:b/>
          <w:sz w:val="22"/>
          <w:szCs w:val="22"/>
        </w:rPr>
      </w:pPr>
      <w:r w:rsidRPr="0021268B">
        <w:rPr>
          <w:rFonts w:ascii="Arial" w:hAnsi="Arial" w:cs="Arial"/>
          <w:b/>
          <w:sz w:val="22"/>
          <w:szCs w:val="22"/>
        </w:rPr>
        <w:t xml:space="preserve">    </w:t>
      </w:r>
    </w:p>
    <w:p w14:paraId="2A313860" w14:textId="77777777" w:rsidR="00D623BF" w:rsidRDefault="00D623BF" w:rsidP="00D623BF">
      <w:pPr>
        <w:tabs>
          <w:tab w:val="left" w:pos="993"/>
        </w:tabs>
        <w:jc w:val="left"/>
        <w:rPr>
          <w:rFonts w:ascii="Arial" w:hAnsi="Arial" w:cs="Arial"/>
          <w:b/>
          <w:sz w:val="22"/>
          <w:szCs w:val="22"/>
        </w:rPr>
      </w:pPr>
      <w:r w:rsidRPr="0021268B">
        <w:rPr>
          <w:rFonts w:ascii="Arial" w:hAnsi="Arial" w:cs="Arial"/>
          <w:b/>
          <w:sz w:val="22"/>
          <w:szCs w:val="22"/>
        </w:rPr>
        <w:t xml:space="preserve">       </w:t>
      </w:r>
    </w:p>
    <w:p w14:paraId="3D4C7877" w14:textId="77777777" w:rsidR="00D623BF" w:rsidRPr="0021268B" w:rsidRDefault="00D623BF" w:rsidP="00D623BF">
      <w:pPr>
        <w:tabs>
          <w:tab w:val="left" w:pos="993"/>
        </w:tabs>
        <w:jc w:val="left"/>
        <w:rPr>
          <w:rFonts w:ascii="Arial" w:hAnsi="Arial" w:cs="Arial"/>
          <w:b/>
          <w:sz w:val="22"/>
          <w:szCs w:val="22"/>
        </w:rPr>
      </w:pPr>
    </w:p>
    <w:tbl>
      <w:tblPr>
        <w:tblStyle w:val="Tabelacomgrade"/>
        <w:tblW w:w="553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tblGrid>
      <w:tr w:rsidR="000809A2" w:rsidRPr="0021268B" w14:paraId="7EDFED1F" w14:textId="77777777" w:rsidTr="000809A2">
        <w:tc>
          <w:tcPr>
            <w:tcW w:w="5534" w:type="dxa"/>
          </w:tcPr>
          <w:p w14:paraId="39B652E9" w14:textId="77777777" w:rsidR="000809A2" w:rsidRPr="0021268B" w:rsidRDefault="000809A2" w:rsidP="00973DDB">
            <w:pPr>
              <w:pStyle w:val="Corpodetexto"/>
              <w:ind w:left="40" w:right="182"/>
              <w:jc w:val="left"/>
              <w:rPr>
                <w:rFonts w:ascii="Arial" w:hAnsi="Arial" w:cs="Arial"/>
                <w:sz w:val="22"/>
                <w:szCs w:val="22"/>
              </w:rPr>
            </w:pPr>
            <w:r w:rsidRPr="0021268B">
              <w:rPr>
                <w:rFonts w:ascii="Arial" w:hAnsi="Arial" w:cs="Arial"/>
                <w:sz w:val="22"/>
                <w:szCs w:val="22"/>
              </w:rPr>
              <w:t>De acordo.</w:t>
            </w:r>
          </w:p>
          <w:p w14:paraId="22977AC8" w14:textId="7059D7B8" w:rsidR="000809A2" w:rsidRPr="0021268B" w:rsidRDefault="000809A2" w:rsidP="00973DDB">
            <w:pPr>
              <w:pStyle w:val="Corpodetexto"/>
              <w:ind w:left="40" w:right="182"/>
              <w:jc w:val="left"/>
              <w:rPr>
                <w:rFonts w:ascii="Arial" w:hAnsi="Arial" w:cs="Arial"/>
                <w:sz w:val="22"/>
                <w:szCs w:val="22"/>
              </w:rPr>
            </w:pPr>
            <w:r>
              <w:rPr>
                <w:rFonts w:ascii="Arial" w:hAnsi="Arial" w:cs="Arial"/>
                <w:sz w:val="22"/>
                <w:szCs w:val="22"/>
              </w:rPr>
              <w:t>Encaminhe</w:t>
            </w:r>
            <w:r w:rsidRPr="0021268B">
              <w:rPr>
                <w:rFonts w:ascii="Arial" w:hAnsi="Arial" w:cs="Arial"/>
                <w:sz w:val="22"/>
                <w:szCs w:val="22"/>
              </w:rPr>
              <w:t xml:space="preserve">-se </w:t>
            </w:r>
            <w:r>
              <w:rPr>
                <w:rFonts w:ascii="Arial" w:hAnsi="Arial" w:cs="Arial"/>
                <w:sz w:val="22"/>
                <w:szCs w:val="22"/>
              </w:rPr>
              <w:t>ao Auditor</w:t>
            </w:r>
            <w:r w:rsidRPr="0021268B">
              <w:rPr>
                <w:rFonts w:ascii="Arial" w:hAnsi="Arial" w:cs="Arial"/>
                <w:sz w:val="22"/>
                <w:szCs w:val="22"/>
              </w:rPr>
              <w:t>-Geral do Estado.</w:t>
            </w:r>
          </w:p>
          <w:p w14:paraId="284DFEBC" w14:textId="77777777" w:rsidR="000809A2" w:rsidRPr="0021268B" w:rsidRDefault="000809A2" w:rsidP="00973DDB">
            <w:pPr>
              <w:pStyle w:val="Corpodetexto"/>
              <w:ind w:left="40" w:right="182"/>
              <w:jc w:val="left"/>
              <w:rPr>
                <w:rFonts w:ascii="Arial" w:hAnsi="Arial" w:cs="Arial"/>
                <w:sz w:val="22"/>
                <w:szCs w:val="22"/>
              </w:rPr>
            </w:pPr>
          </w:p>
          <w:p w14:paraId="53322EFD" w14:textId="7213B1D4" w:rsidR="000809A2" w:rsidRPr="0021268B" w:rsidRDefault="000809A2" w:rsidP="00973DDB">
            <w:pPr>
              <w:tabs>
                <w:tab w:val="left" w:pos="851"/>
              </w:tabs>
              <w:jc w:val="left"/>
              <w:rPr>
                <w:rFonts w:ascii="Arial" w:hAnsi="Arial" w:cs="Arial"/>
                <w:b/>
                <w:sz w:val="22"/>
                <w:szCs w:val="22"/>
              </w:rPr>
            </w:pPr>
            <w:r>
              <w:rPr>
                <w:rFonts w:ascii="Arial" w:hAnsi="Arial" w:cs="Arial"/>
                <w:b/>
                <w:sz w:val="22"/>
                <w:szCs w:val="22"/>
              </w:rPr>
              <w:t>EDUARDO MACIEL BITTENCOURT</w:t>
            </w:r>
          </w:p>
          <w:p w14:paraId="47417EB2" w14:textId="37EBF9B8" w:rsidR="000809A2" w:rsidRPr="0021268B" w:rsidRDefault="000809A2" w:rsidP="00973DDB">
            <w:pPr>
              <w:pStyle w:val="Corpodetexto"/>
              <w:ind w:right="182"/>
              <w:jc w:val="left"/>
              <w:rPr>
                <w:rFonts w:ascii="Arial" w:hAnsi="Arial" w:cs="Arial"/>
                <w:sz w:val="22"/>
                <w:szCs w:val="22"/>
              </w:rPr>
            </w:pPr>
            <w:r w:rsidRPr="0021268B">
              <w:rPr>
                <w:rFonts w:ascii="Arial" w:hAnsi="Arial" w:cs="Arial"/>
                <w:sz w:val="22"/>
                <w:szCs w:val="22"/>
              </w:rPr>
              <w:t>Gerente de Auditoria de Licitações e Contratos</w:t>
            </w:r>
            <w:r>
              <w:rPr>
                <w:rFonts w:ascii="Arial" w:hAnsi="Arial" w:cs="Arial"/>
                <w:sz w:val="22"/>
                <w:szCs w:val="22"/>
              </w:rPr>
              <w:t xml:space="preserve"> e.e</w:t>
            </w:r>
          </w:p>
          <w:p w14:paraId="36A643E3" w14:textId="21E10B2D" w:rsidR="000809A2" w:rsidRPr="0021268B" w:rsidRDefault="000809A2" w:rsidP="00973DDB">
            <w:pPr>
              <w:pStyle w:val="Corpodetexto"/>
              <w:ind w:right="215"/>
              <w:jc w:val="left"/>
              <w:rPr>
                <w:rFonts w:ascii="Arial" w:hAnsi="Arial" w:cs="Arial"/>
                <w:sz w:val="22"/>
                <w:szCs w:val="22"/>
              </w:rPr>
            </w:pPr>
            <w:r>
              <w:rPr>
                <w:rFonts w:ascii="Arial" w:hAnsi="Arial" w:cs="Arial"/>
                <w:sz w:val="22"/>
                <w:szCs w:val="22"/>
              </w:rPr>
              <w:t>Auditor Interno</w:t>
            </w:r>
            <w:r w:rsidRPr="0021268B">
              <w:rPr>
                <w:rFonts w:ascii="Arial" w:hAnsi="Arial" w:cs="Arial"/>
                <w:sz w:val="22"/>
                <w:szCs w:val="22"/>
              </w:rPr>
              <w:t xml:space="preserve"> do Poder Executivo</w:t>
            </w:r>
          </w:p>
          <w:p w14:paraId="23873169" w14:textId="5B1A14DD" w:rsidR="000809A2" w:rsidRPr="0021268B" w:rsidRDefault="000809A2" w:rsidP="00973DDB">
            <w:pPr>
              <w:pStyle w:val="Corpodetexto"/>
              <w:ind w:right="215"/>
              <w:jc w:val="left"/>
              <w:rPr>
                <w:rFonts w:ascii="Arial" w:hAnsi="Arial" w:cs="Arial"/>
                <w:sz w:val="22"/>
                <w:szCs w:val="22"/>
              </w:rPr>
            </w:pPr>
            <w:r w:rsidRPr="0021268B">
              <w:rPr>
                <w:rFonts w:ascii="Arial" w:hAnsi="Arial" w:cs="Arial"/>
                <w:sz w:val="22"/>
                <w:szCs w:val="22"/>
              </w:rPr>
              <w:t>Matrícula nº 3</w:t>
            </w:r>
            <w:r>
              <w:rPr>
                <w:rFonts w:ascii="Arial" w:hAnsi="Arial" w:cs="Arial"/>
                <w:sz w:val="22"/>
                <w:szCs w:val="22"/>
              </w:rPr>
              <w:t>96.556-2</w:t>
            </w:r>
          </w:p>
          <w:p w14:paraId="147F49BC" w14:textId="77777777" w:rsidR="000809A2" w:rsidRPr="0021268B" w:rsidRDefault="000809A2" w:rsidP="00973DDB">
            <w:pPr>
              <w:tabs>
                <w:tab w:val="left" w:pos="993"/>
              </w:tabs>
              <w:ind w:left="40"/>
              <w:jc w:val="left"/>
              <w:rPr>
                <w:rFonts w:ascii="Arial" w:hAnsi="Arial" w:cs="Arial"/>
                <w:b/>
                <w:sz w:val="22"/>
                <w:szCs w:val="22"/>
              </w:rPr>
            </w:pPr>
          </w:p>
        </w:tc>
      </w:tr>
    </w:tbl>
    <w:p w14:paraId="7660ADEC" w14:textId="77777777" w:rsidR="000809A2" w:rsidRDefault="000809A2" w:rsidP="000809A2">
      <w:pPr>
        <w:tabs>
          <w:tab w:val="left" w:pos="1418"/>
        </w:tabs>
        <w:ind w:right="34"/>
        <w:jc w:val="left"/>
        <w:rPr>
          <w:rFonts w:ascii="Arial" w:hAnsi="Arial" w:cs="Arial"/>
          <w:b/>
          <w:sz w:val="22"/>
          <w:szCs w:val="22"/>
        </w:rPr>
      </w:pPr>
    </w:p>
    <w:p w14:paraId="75FD1DFC" w14:textId="77777777" w:rsidR="000809A2" w:rsidRDefault="000809A2" w:rsidP="000809A2">
      <w:pPr>
        <w:tabs>
          <w:tab w:val="left" w:pos="1418"/>
        </w:tabs>
        <w:ind w:right="34"/>
        <w:jc w:val="left"/>
        <w:rPr>
          <w:rFonts w:ascii="Arial" w:hAnsi="Arial" w:cs="Arial"/>
          <w:b/>
          <w:sz w:val="22"/>
          <w:szCs w:val="22"/>
        </w:rPr>
      </w:pPr>
    </w:p>
    <w:p w14:paraId="47B903E7" w14:textId="77777777" w:rsidR="000809A2" w:rsidRPr="0021268B" w:rsidRDefault="000809A2" w:rsidP="000809A2">
      <w:pPr>
        <w:tabs>
          <w:tab w:val="left" w:pos="1418"/>
        </w:tabs>
        <w:ind w:right="34"/>
        <w:jc w:val="left"/>
        <w:rPr>
          <w:rFonts w:ascii="Arial" w:hAnsi="Arial" w:cs="Arial"/>
          <w:sz w:val="22"/>
          <w:szCs w:val="22"/>
        </w:rPr>
      </w:pPr>
      <w:r w:rsidRPr="0021268B">
        <w:rPr>
          <w:rFonts w:ascii="Arial" w:hAnsi="Arial" w:cs="Arial"/>
          <w:sz w:val="22"/>
          <w:szCs w:val="22"/>
        </w:rPr>
        <w:t>De acordo.</w:t>
      </w:r>
    </w:p>
    <w:p w14:paraId="2AF9EC36" w14:textId="77777777" w:rsidR="000809A2" w:rsidRPr="0021268B" w:rsidRDefault="000809A2" w:rsidP="000809A2">
      <w:pPr>
        <w:tabs>
          <w:tab w:val="left" w:pos="1418"/>
        </w:tabs>
        <w:ind w:right="34"/>
        <w:jc w:val="left"/>
        <w:rPr>
          <w:rFonts w:ascii="Arial" w:hAnsi="Arial" w:cs="Arial"/>
          <w:sz w:val="22"/>
          <w:szCs w:val="22"/>
        </w:rPr>
      </w:pPr>
    </w:p>
    <w:p w14:paraId="50E790FC" w14:textId="77777777" w:rsidR="000809A2" w:rsidRPr="0021268B" w:rsidRDefault="000809A2" w:rsidP="000809A2">
      <w:pPr>
        <w:pStyle w:val="Corpodetexto"/>
        <w:tabs>
          <w:tab w:val="left" w:pos="1418"/>
        </w:tabs>
        <w:ind w:right="215"/>
        <w:jc w:val="left"/>
        <w:rPr>
          <w:rFonts w:ascii="Arial" w:hAnsi="Arial" w:cs="Arial"/>
          <w:b/>
          <w:sz w:val="22"/>
          <w:szCs w:val="22"/>
        </w:rPr>
      </w:pPr>
      <w:r>
        <w:rPr>
          <w:rFonts w:ascii="Arial" w:hAnsi="Arial" w:cs="Arial"/>
          <w:b/>
          <w:sz w:val="22"/>
          <w:szCs w:val="22"/>
        </w:rPr>
        <w:t>RODRIGO STIGGER DUTRA</w:t>
      </w:r>
    </w:p>
    <w:p w14:paraId="5EB1E451" w14:textId="77777777" w:rsidR="000809A2" w:rsidRPr="0021268B" w:rsidRDefault="000809A2" w:rsidP="000809A2">
      <w:pPr>
        <w:pStyle w:val="Corpodetexto"/>
        <w:tabs>
          <w:tab w:val="left" w:pos="1418"/>
        </w:tabs>
        <w:ind w:right="215"/>
        <w:jc w:val="left"/>
        <w:rPr>
          <w:rFonts w:ascii="Arial" w:hAnsi="Arial" w:cs="Arial"/>
          <w:sz w:val="22"/>
          <w:szCs w:val="22"/>
        </w:rPr>
      </w:pPr>
      <w:r>
        <w:rPr>
          <w:rFonts w:ascii="Arial" w:hAnsi="Arial" w:cs="Arial"/>
          <w:sz w:val="22"/>
          <w:szCs w:val="22"/>
        </w:rPr>
        <w:t>Auditor</w:t>
      </w:r>
      <w:r w:rsidRPr="0021268B">
        <w:rPr>
          <w:rFonts w:ascii="Arial" w:hAnsi="Arial" w:cs="Arial"/>
          <w:sz w:val="22"/>
          <w:szCs w:val="22"/>
        </w:rPr>
        <w:t>-Geral do Estado</w:t>
      </w:r>
    </w:p>
    <w:p w14:paraId="6990F048" w14:textId="77777777" w:rsidR="000809A2" w:rsidRPr="0021268B" w:rsidRDefault="000809A2" w:rsidP="000809A2">
      <w:pPr>
        <w:pStyle w:val="Corpodetexto"/>
        <w:tabs>
          <w:tab w:val="left" w:pos="1418"/>
        </w:tabs>
        <w:ind w:right="215"/>
        <w:jc w:val="left"/>
        <w:rPr>
          <w:rFonts w:ascii="Arial" w:hAnsi="Arial" w:cs="Arial"/>
          <w:sz w:val="22"/>
          <w:szCs w:val="22"/>
        </w:rPr>
      </w:pPr>
      <w:r>
        <w:rPr>
          <w:rFonts w:ascii="Arial" w:hAnsi="Arial" w:cs="Arial"/>
          <w:sz w:val="22"/>
          <w:szCs w:val="22"/>
        </w:rPr>
        <w:t>Auditor Interno</w:t>
      </w:r>
      <w:r w:rsidRPr="0021268B">
        <w:rPr>
          <w:rFonts w:ascii="Arial" w:hAnsi="Arial" w:cs="Arial"/>
          <w:sz w:val="22"/>
          <w:szCs w:val="22"/>
        </w:rPr>
        <w:t xml:space="preserve"> do Poder Executivo</w:t>
      </w:r>
    </w:p>
    <w:p w14:paraId="785EF9D5" w14:textId="77777777" w:rsidR="000809A2" w:rsidRPr="0021268B" w:rsidRDefault="000809A2" w:rsidP="000809A2">
      <w:pPr>
        <w:pStyle w:val="Corpodetexto"/>
        <w:tabs>
          <w:tab w:val="left" w:pos="1418"/>
        </w:tabs>
        <w:ind w:right="215"/>
        <w:jc w:val="left"/>
        <w:rPr>
          <w:rFonts w:ascii="Arial" w:hAnsi="Arial" w:cs="Arial"/>
          <w:sz w:val="22"/>
          <w:szCs w:val="22"/>
        </w:rPr>
      </w:pPr>
      <w:r w:rsidRPr="0021268B">
        <w:rPr>
          <w:rFonts w:ascii="Arial" w:hAnsi="Arial" w:cs="Arial"/>
          <w:sz w:val="22"/>
          <w:szCs w:val="22"/>
        </w:rPr>
        <w:t xml:space="preserve">Matrícula nº </w:t>
      </w:r>
      <w:r>
        <w:rPr>
          <w:rFonts w:ascii="Arial" w:hAnsi="Arial" w:cs="Arial"/>
          <w:sz w:val="22"/>
          <w:szCs w:val="22"/>
        </w:rPr>
        <w:t>389.733-8</w:t>
      </w:r>
    </w:p>
    <w:p w14:paraId="66E635E1" w14:textId="77777777" w:rsidR="000809A2" w:rsidRDefault="000809A2" w:rsidP="00D623BF">
      <w:pPr>
        <w:pStyle w:val="Corpodetexto"/>
        <w:tabs>
          <w:tab w:val="left" w:pos="1418"/>
        </w:tabs>
        <w:ind w:right="215"/>
        <w:jc w:val="left"/>
        <w:rPr>
          <w:rFonts w:ascii="Arial" w:hAnsi="Arial" w:cs="Arial"/>
          <w:sz w:val="22"/>
          <w:szCs w:val="22"/>
        </w:rPr>
      </w:pPr>
    </w:p>
    <w:p w14:paraId="28ADDDF8" w14:textId="77777777" w:rsidR="000809A2" w:rsidRDefault="000809A2" w:rsidP="00D623BF">
      <w:pPr>
        <w:pStyle w:val="Corpodetexto"/>
        <w:tabs>
          <w:tab w:val="left" w:pos="1418"/>
        </w:tabs>
        <w:ind w:right="215"/>
        <w:jc w:val="left"/>
        <w:rPr>
          <w:rFonts w:ascii="Arial" w:hAnsi="Arial" w:cs="Arial"/>
          <w:sz w:val="22"/>
          <w:szCs w:val="22"/>
        </w:rPr>
      </w:pPr>
    </w:p>
    <w:p w14:paraId="0A743214" w14:textId="77777777" w:rsidR="000809A2" w:rsidRDefault="000809A2" w:rsidP="00D623BF">
      <w:pPr>
        <w:pStyle w:val="Corpodetexto"/>
        <w:tabs>
          <w:tab w:val="left" w:pos="1418"/>
        </w:tabs>
        <w:ind w:right="215"/>
        <w:jc w:val="left"/>
        <w:rPr>
          <w:rFonts w:ascii="Arial" w:hAnsi="Arial" w:cs="Arial"/>
          <w:sz w:val="22"/>
          <w:szCs w:val="22"/>
        </w:rPr>
      </w:pPr>
    </w:p>
    <w:p w14:paraId="20FAB2A3" w14:textId="77777777" w:rsidR="00D623BF" w:rsidRPr="0021268B" w:rsidRDefault="00D623BF" w:rsidP="00D623BF">
      <w:pPr>
        <w:pStyle w:val="Corpodetexto"/>
        <w:tabs>
          <w:tab w:val="left" w:pos="1418"/>
        </w:tabs>
        <w:ind w:right="215"/>
        <w:jc w:val="left"/>
        <w:rPr>
          <w:rFonts w:ascii="Arial" w:hAnsi="Arial" w:cs="Arial"/>
          <w:sz w:val="22"/>
          <w:szCs w:val="22"/>
        </w:rPr>
      </w:pPr>
      <w:r w:rsidRPr="0021268B">
        <w:rPr>
          <w:rFonts w:ascii="Arial" w:hAnsi="Arial" w:cs="Arial"/>
          <w:sz w:val="22"/>
          <w:szCs w:val="22"/>
        </w:rPr>
        <w:t>De acordo.</w:t>
      </w:r>
    </w:p>
    <w:p w14:paraId="4CA3D481" w14:textId="77777777" w:rsidR="00D623BF" w:rsidRPr="0021268B" w:rsidRDefault="00D623BF" w:rsidP="00D623BF">
      <w:pPr>
        <w:pStyle w:val="Corpodetexto"/>
        <w:tabs>
          <w:tab w:val="left" w:pos="1418"/>
        </w:tabs>
        <w:ind w:right="215"/>
        <w:jc w:val="left"/>
        <w:rPr>
          <w:rFonts w:ascii="Arial" w:hAnsi="Arial" w:cs="Arial"/>
          <w:sz w:val="22"/>
          <w:szCs w:val="22"/>
        </w:rPr>
      </w:pPr>
      <w:r w:rsidRPr="0021268B">
        <w:rPr>
          <w:rFonts w:ascii="Arial" w:hAnsi="Arial" w:cs="Arial"/>
          <w:sz w:val="22"/>
          <w:szCs w:val="22"/>
        </w:rPr>
        <w:t>Encaminhe-se aos órgãos e entidades da Administração Pública Estadual.</w:t>
      </w:r>
    </w:p>
    <w:p w14:paraId="441C4908" w14:textId="77777777" w:rsidR="00D623BF" w:rsidRPr="0021268B" w:rsidRDefault="00D623BF" w:rsidP="00D623BF">
      <w:pPr>
        <w:pStyle w:val="Corpodetexto"/>
        <w:tabs>
          <w:tab w:val="left" w:pos="1418"/>
        </w:tabs>
        <w:ind w:right="215"/>
        <w:jc w:val="left"/>
        <w:rPr>
          <w:rFonts w:ascii="Arial" w:hAnsi="Arial" w:cs="Arial"/>
          <w:sz w:val="22"/>
          <w:szCs w:val="22"/>
        </w:rPr>
      </w:pPr>
    </w:p>
    <w:p w14:paraId="0C2A8E87" w14:textId="6666351C" w:rsidR="00D623BF" w:rsidRPr="0021268B" w:rsidRDefault="005B15E6" w:rsidP="00D623BF">
      <w:pPr>
        <w:pStyle w:val="Corpodetexto"/>
        <w:ind w:right="215"/>
        <w:jc w:val="left"/>
        <w:rPr>
          <w:rFonts w:ascii="Arial" w:hAnsi="Arial" w:cs="Arial"/>
          <w:b/>
          <w:sz w:val="22"/>
          <w:szCs w:val="22"/>
        </w:rPr>
      </w:pPr>
      <w:r>
        <w:rPr>
          <w:rFonts w:ascii="Arial" w:hAnsi="Arial" w:cs="Arial"/>
          <w:b/>
          <w:sz w:val="22"/>
          <w:szCs w:val="22"/>
        </w:rPr>
        <w:t>CRISTIANO SOCAS DA SILVA</w:t>
      </w:r>
    </w:p>
    <w:p w14:paraId="57AA839E" w14:textId="77777777" w:rsidR="00D623BF" w:rsidRPr="0021268B" w:rsidRDefault="00D623BF" w:rsidP="00D623BF">
      <w:pPr>
        <w:pStyle w:val="Corpodetexto"/>
        <w:ind w:right="215"/>
        <w:jc w:val="left"/>
        <w:rPr>
          <w:rFonts w:ascii="Arial" w:hAnsi="Arial" w:cs="Arial"/>
          <w:sz w:val="22"/>
          <w:szCs w:val="22"/>
        </w:rPr>
      </w:pPr>
      <w:r w:rsidRPr="0021268B">
        <w:rPr>
          <w:rFonts w:ascii="Arial" w:hAnsi="Arial" w:cs="Arial"/>
          <w:sz w:val="22"/>
          <w:szCs w:val="22"/>
        </w:rPr>
        <w:t>Controlador-Geral do Estado</w:t>
      </w:r>
    </w:p>
    <w:p w14:paraId="5B7AD39C" w14:textId="77A45A1C" w:rsidR="00D623BF" w:rsidRPr="005B15E6" w:rsidRDefault="00D623BF" w:rsidP="005B15E6">
      <w:pPr>
        <w:pStyle w:val="Corpodetexto"/>
        <w:ind w:right="215"/>
        <w:jc w:val="left"/>
        <w:rPr>
          <w:rFonts w:ascii="Arial" w:hAnsi="Arial" w:cs="Arial"/>
          <w:sz w:val="22"/>
          <w:szCs w:val="22"/>
        </w:rPr>
      </w:pPr>
      <w:r w:rsidRPr="0021268B">
        <w:rPr>
          <w:rFonts w:ascii="Arial" w:hAnsi="Arial" w:cs="Arial"/>
          <w:sz w:val="22"/>
          <w:szCs w:val="22"/>
        </w:rPr>
        <w:t xml:space="preserve">Matrícula nº </w:t>
      </w:r>
      <w:r w:rsidR="00C2605C">
        <w:rPr>
          <w:rFonts w:ascii="Arial" w:hAnsi="Arial" w:cs="Arial"/>
          <w:sz w:val="22"/>
          <w:szCs w:val="22"/>
        </w:rPr>
        <w:t>389.731-1</w:t>
      </w:r>
    </w:p>
    <w:sectPr w:rsidR="00D623BF" w:rsidRPr="005B15E6" w:rsidSect="00973DDB">
      <w:headerReference w:type="default" r:id="rId12"/>
      <w:footerReference w:type="default" r:id="rId13"/>
      <w:pgSz w:w="11906" w:h="16838" w:code="9"/>
      <w:pgMar w:top="1701" w:right="1416" w:bottom="1701" w:left="1701" w:header="284"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3943D" w14:textId="77777777" w:rsidR="000D3E68" w:rsidRDefault="000D3E68">
      <w:r>
        <w:separator/>
      </w:r>
    </w:p>
  </w:endnote>
  <w:endnote w:type="continuationSeparator" w:id="0">
    <w:p w14:paraId="590102FE" w14:textId="77777777" w:rsidR="000D3E68" w:rsidRDefault="000D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0" w:type="dxa"/>
      <w:tblLook w:val="04A0" w:firstRow="1" w:lastRow="0" w:firstColumn="1" w:lastColumn="0" w:noHBand="0" w:noVBand="1"/>
    </w:tblPr>
    <w:tblGrid>
      <w:gridCol w:w="7655"/>
      <w:gridCol w:w="2255"/>
    </w:tblGrid>
    <w:tr w:rsidR="000D3E68" w:rsidRPr="00F859D7" w14:paraId="5CFFACF1" w14:textId="77777777" w:rsidTr="00973DDB">
      <w:trPr>
        <w:trHeight w:val="291"/>
      </w:trPr>
      <w:tc>
        <w:tcPr>
          <w:tcW w:w="7655" w:type="dxa"/>
        </w:tcPr>
        <w:p w14:paraId="4E93AF80" w14:textId="77777777" w:rsidR="000D3E68" w:rsidRPr="00F859D7" w:rsidRDefault="000D3E68" w:rsidP="00973DDB">
          <w:pPr>
            <w:jc w:val="right"/>
            <w:rPr>
              <w:rFonts w:ascii="Arial" w:hAnsi="Arial" w:cs="Arial"/>
              <w:sz w:val="16"/>
              <w:szCs w:val="16"/>
            </w:rPr>
          </w:pPr>
          <w:r w:rsidRPr="00F859D7">
            <w:rPr>
              <w:rFonts w:ascii="Arial" w:hAnsi="Arial" w:cs="Arial"/>
              <w:sz w:val="16"/>
              <w:szCs w:val="16"/>
            </w:rPr>
            <w:t>Rod. José Carlos Daux, 5500 - Saco Grande, Florianópolis - SC, 88032-005</w:t>
          </w:r>
        </w:p>
        <w:p w14:paraId="12C0A768" w14:textId="77777777" w:rsidR="000D3E68" w:rsidRPr="00F859D7" w:rsidRDefault="000D3E68" w:rsidP="00973DDB">
          <w:pPr>
            <w:jc w:val="right"/>
            <w:rPr>
              <w:rFonts w:ascii="Arial" w:hAnsi="Arial" w:cs="Arial"/>
              <w:sz w:val="16"/>
              <w:szCs w:val="16"/>
            </w:rPr>
          </w:pPr>
          <w:r w:rsidRPr="00F859D7">
            <w:rPr>
              <w:rFonts w:ascii="Arial" w:hAnsi="Arial" w:cs="Arial"/>
              <w:sz w:val="16"/>
              <w:szCs w:val="16"/>
            </w:rPr>
            <w:t>SC 401 Square Corporate – CFL – Torre Campeche B, 3º andar, sala 323</w:t>
          </w:r>
        </w:p>
        <w:p w14:paraId="03E2F576" w14:textId="77777777" w:rsidR="000D3E68" w:rsidRPr="00F859D7" w:rsidRDefault="000D3E68" w:rsidP="00973DDB">
          <w:pPr>
            <w:jc w:val="right"/>
            <w:rPr>
              <w:rFonts w:ascii="Arial" w:hAnsi="Arial" w:cs="Arial"/>
              <w:sz w:val="16"/>
              <w:szCs w:val="16"/>
            </w:rPr>
          </w:pPr>
          <w:r w:rsidRPr="00F859D7">
            <w:rPr>
              <w:rFonts w:ascii="Arial" w:hAnsi="Arial" w:cs="Arial"/>
              <w:sz w:val="16"/>
              <w:szCs w:val="16"/>
            </w:rPr>
            <w:t>Fone: (48) 3664-5720 - E-mail:</w:t>
          </w:r>
          <w:r w:rsidRPr="00F859D7">
            <w:rPr>
              <w:sz w:val="16"/>
              <w:szCs w:val="16"/>
            </w:rPr>
            <w:t xml:space="preserve"> </w:t>
          </w:r>
          <w:hyperlink r:id="rId1" w:history="1">
            <w:r w:rsidRPr="00F859D7">
              <w:rPr>
                <w:rStyle w:val="Hyperlink"/>
                <w:rFonts w:ascii="Arial" w:hAnsi="Arial" w:cs="Arial"/>
                <w:sz w:val="16"/>
                <w:szCs w:val="16"/>
              </w:rPr>
              <w:t>cgesc@cge.sc.gov.br</w:t>
            </w:r>
          </w:hyperlink>
        </w:p>
      </w:tc>
      <w:tc>
        <w:tcPr>
          <w:tcW w:w="2255" w:type="dxa"/>
        </w:tcPr>
        <w:p w14:paraId="34EF5795" w14:textId="50832DDD" w:rsidR="000D3E68" w:rsidRPr="00F859D7" w:rsidRDefault="002865D5" w:rsidP="00973DDB">
          <w:pPr>
            <w:jc w:val="center"/>
            <w:rPr>
              <w:rFonts w:ascii="Arial" w:hAnsi="Arial" w:cs="Arial"/>
              <w:color w:val="0000FF"/>
              <w:sz w:val="16"/>
              <w:szCs w:val="16"/>
              <w:u w:val="single"/>
            </w:rPr>
          </w:pPr>
          <w:r>
            <w:rPr>
              <w:noProof/>
            </w:rPr>
            <w:drawing>
              <wp:inline distT="0" distB="0" distL="0" distR="0" wp14:anchorId="4CA14E91" wp14:editId="3AE078B3">
                <wp:extent cx="1260475" cy="507365"/>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475" cy="507365"/>
                        </a:xfrm>
                        <a:prstGeom prst="rect">
                          <a:avLst/>
                        </a:prstGeom>
                        <a:noFill/>
                        <a:ln>
                          <a:noFill/>
                        </a:ln>
                      </pic:spPr>
                    </pic:pic>
                  </a:graphicData>
                </a:graphic>
              </wp:inline>
            </w:drawing>
          </w:r>
        </w:p>
      </w:tc>
    </w:tr>
  </w:tbl>
  <w:p w14:paraId="579A9422" w14:textId="23FD413A" w:rsidR="000D3E68" w:rsidRPr="00A0421F" w:rsidRDefault="000D3E68" w:rsidP="00973DDB">
    <w:pPr>
      <w:pStyle w:val="Rodap"/>
      <w:jc w:val="center"/>
      <w:rPr>
        <w:rFonts w:ascii="Arial" w:hAnsi="Arial" w:cs="Arial"/>
        <w:sz w:val="20"/>
        <w:szCs w:val="20"/>
      </w:rPr>
    </w:pPr>
    <w:r w:rsidRPr="00A0421F">
      <w:rPr>
        <w:rFonts w:ascii="Arial" w:hAnsi="Arial" w:cs="Arial"/>
        <w:sz w:val="20"/>
        <w:szCs w:val="20"/>
      </w:rPr>
      <w:t xml:space="preserve">Página </w:t>
    </w:r>
    <w:r w:rsidRPr="00A0421F">
      <w:rPr>
        <w:rFonts w:ascii="Arial" w:hAnsi="Arial" w:cs="Arial"/>
        <w:b/>
        <w:bCs/>
        <w:sz w:val="20"/>
        <w:szCs w:val="20"/>
      </w:rPr>
      <w:fldChar w:fldCharType="begin"/>
    </w:r>
    <w:r w:rsidRPr="00A0421F">
      <w:rPr>
        <w:rFonts w:ascii="Arial" w:hAnsi="Arial" w:cs="Arial"/>
        <w:b/>
        <w:bCs/>
        <w:sz w:val="20"/>
        <w:szCs w:val="20"/>
      </w:rPr>
      <w:instrText>PAGE</w:instrText>
    </w:r>
    <w:r w:rsidRPr="00A0421F">
      <w:rPr>
        <w:rFonts w:ascii="Arial" w:hAnsi="Arial" w:cs="Arial"/>
        <w:b/>
        <w:bCs/>
        <w:sz w:val="20"/>
        <w:szCs w:val="20"/>
      </w:rPr>
      <w:fldChar w:fldCharType="separate"/>
    </w:r>
    <w:r w:rsidR="002865D5">
      <w:rPr>
        <w:rFonts w:ascii="Arial" w:hAnsi="Arial" w:cs="Arial"/>
        <w:b/>
        <w:bCs/>
        <w:noProof/>
        <w:sz w:val="20"/>
        <w:szCs w:val="20"/>
      </w:rPr>
      <w:t>7</w:t>
    </w:r>
    <w:r w:rsidRPr="00A0421F">
      <w:rPr>
        <w:rFonts w:ascii="Arial" w:hAnsi="Arial" w:cs="Arial"/>
        <w:b/>
        <w:bCs/>
        <w:sz w:val="20"/>
        <w:szCs w:val="20"/>
      </w:rPr>
      <w:fldChar w:fldCharType="end"/>
    </w:r>
    <w:r w:rsidRPr="00A0421F">
      <w:rPr>
        <w:rFonts w:ascii="Arial" w:hAnsi="Arial" w:cs="Arial"/>
        <w:sz w:val="20"/>
        <w:szCs w:val="20"/>
      </w:rPr>
      <w:t xml:space="preserve"> de </w:t>
    </w:r>
    <w:r w:rsidRPr="00A0421F">
      <w:rPr>
        <w:rFonts w:ascii="Arial" w:hAnsi="Arial" w:cs="Arial"/>
        <w:b/>
        <w:bCs/>
        <w:sz w:val="20"/>
        <w:szCs w:val="20"/>
      </w:rPr>
      <w:fldChar w:fldCharType="begin"/>
    </w:r>
    <w:r w:rsidRPr="00A0421F">
      <w:rPr>
        <w:rFonts w:ascii="Arial" w:hAnsi="Arial" w:cs="Arial"/>
        <w:b/>
        <w:bCs/>
        <w:sz w:val="20"/>
        <w:szCs w:val="20"/>
      </w:rPr>
      <w:instrText>NUMPAGES</w:instrText>
    </w:r>
    <w:r w:rsidRPr="00A0421F">
      <w:rPr>
        <w:rFonts w:ascii="Arial" w:hAnsi="Arial" w:cs="Arial"/>
        <w:b/>
        <w:bCs/>
        <w:sz w:val="20"/>
        <w:szCs w:val="20"/>
      </w:rPr>
      <w:fldChar w:fldCharType="separate"/>
    </w:r>
    <w:r w:rsidR="002865D5">
      <w:rPr>
        <w:rFonts w:ascii="Arial" w:hAnsi="Arial" w:cs="Arial"/>
        <w:b/>
        <w:bCs/>
        <w:noProof/>
        <w:sz w:val="20"/>
        <w:szCs w:val="20"/>
      </w:rPr>
      <w:t>8</w:t>
    </w:r>
    <w:r w:rsidRPr="00A0421F">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29E90" w14:textId="77777777" w:rsidR="000D3E68" w:rsidRDefault="000D3E68">
      <w:r>
        <w:separator/>
      </w:r>
    </w:p>
  </w:footnote>
  <w:footnote w:type="continuationSeparator" w:id="0">
    <w:p w14:paraId="33A5C411" w14:textId="77777777" w:rsidR="000D3E68" w:rsidRDefault="000D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845" w:type="dxa"/>
      <w:tblInd w:w="-1418" w:type="dxa"/>
      <w:tblLayout w:type="fixed"/>
      <w:tblLook w:val="04A0" w:firstRow="1" w:lastRow="0" w:firstColumn="1" w:lastColumn="0" w:noHBand="0" w:noVBand="1"/>
    </w:tblPr>
    <w:tblGrid>
      <w:gridCol w:w="10065"/>
      <w:gridCol w:w="9780"/>
    </w:tblGrid>
    <w:tr w:rsidR="000D3E68" w:rsidRPr="00773770" w14:paraId="1DCFBBD4" w14:textId="77777777" w:rsidTr="00973DDB">
      <w:trPr>
        <w:trHeight w:val="849"/>
      </w:trPr>
      <w:tc>
        <w:tcPr>
          <w:tcW w:w="10065" w:type="dxa"/>
        </w:tcPr>
        <w:tbl>
          <w:tblPr>
            <w:tblW w:w="0" w:type="auto"/>
            <w:tblBorders>
              <w:insideH w:val="single" w:sz="4" w:space="0" w:color="auto"/>
            </w:tblBorders>
            <w:tblLayout w:type="fixed"/>
            <w:tblLook w:val="04A0" w:firstRow="1" w:lastRow="0" w:firstColumn="1" w:lastColumn="0" w:noHBand="0" w:noVBand="1"/>
          </w:tblPr>
          <w:tblGrid>
            <w:gridCol w:w="1094"/>
            <w:gridCol w:w="7660"/>
          </w:tblGrid>
          <w:tr w:rsidR="000D3E68" w:rsidRPr="00B52F38" w14:paraId="7EC5F3FB" w14:textId="77777777" w:rsidTr="00973DDB">
            <w:tc>
              <w:tcPr>
                <w:tcW w:w="1094" w:type="dxa"/>
                <w:shd w:val="clear" w:color="auto" w:fill="auto"/>
              </w:tcPr>
              <w:p w14:paraId="7E1F69C5" w14:textId="77777777" w:rsidR="000D3E68" w:rsidRPr="00B52F38" w:rsidRDefault="000D3E68" w:rsidP="00973DDB">
                <w:pPr>
                  <w:pStyle w:val="Cabealho"/>
                  <w:rPr>
                    <w:rFonts w:ascii="Arial" w:hAnsi="Arial" w:cs="Arial"/>
                    <w:b/>
                    <w:bCs/>
                  </w:rPr>
                </w:pPr>
                <w:r w:rsidRPr="00AC0861">
                  <w:rPr>
                    <w:noProof/>
                  </w:rPr>
                  <w:drawing>
                    <wp:inline distT="0" distB="0" distL="0" distR="0" wp14:anchorId="2308852A" wp14:editId="18E963AB">
                      <wp:extent cx="523875" cy="561975"/>
                      <wp:effectExtent l="0" t="0" r="0" b="0"/>
                      <wp:docPr id="3" name="Imagem 3" descr="Resultado de imagem para brasÃ£o estado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Resultado de imagem para brasÃ£o estado 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7660" w:type="dxa"/>
                <w:shd w:val="clear" w:color="auto" w:fill="auto"/>
              </w:tcPr>
              <w:p w14:paraId="1629B736" w14:textId="77777777" w:rsidR="000D3E68" w:rsidRPr="001B62A6" w:rsidRDefault="000D3E68" w:rsidP="00973DDB">
                <w:pPr>
                  <w:pStyle w:val="Cabealho"/>
                  <w:rPr>
                    <w:rFonts w:ascii="Arial" w:hAnsi="Arial" w:cs="Arial"/>
                    <w:b/>
                    <w:bCs/>
                    <w:sz w:val="20"/>
                    <w:szCs w:val="20"/>
                  </w:rPr>
                </w:pPr>
                <w:r w:rsidRPr="001B62A6">
                  <w:rPr>
                    <w:rFonts w:ascii="Arial" w:hAnsi="Arial" w:cs="Arial"/>
                    <w:b/>
                    <w:bCs/>
                    <w:sz w:val="20"/>
                    <w:szCs w:val="20"/>
                  </w:rPr>
                  <w:t>ESTADO DE SANTA CATARINA</w:t>
                </w:r>
              </w:p>
              <w:p w14:paraId="596643D8" w14:textId="77777777" w:rsidR="000D3E68" w:rsidRPr="001B62A6" w:rsidRDefault="000D3E68" w:rsidP="00973DDB">
                <w:pPr>
                  <w:pStyle w:val="Cabealho"/>
                  <w:rPr>
                    <w:rFonts w:ascii="Arial" w:hAnsi="Arial" w:cs="Arial"/>
                    <w:b/>
                    <w:bCs/>
                    <w:sz w:val="20"/>
                    <w:szCs w:val="20"/>
                  </w:rPr>
                </w:pPr>
                <w:r w:rsidRPr="001B62A6">
                  <w:rPr>
                    <w:rFonts w:ascii="Arial" w:hAnsi="Arial" w:cs="Arial"/>
                    <w:b/>
                    <w:bCs/>
                    <w:sz w:val="20"/>
                    <w:szCs w:val="20"/>
                  </w:rPr>
                  <w:t>CONTROLADORIA-GERAL DO ESTADO</w:t>
                </w:r>
              </w:p>
              <w:p w14:paraId="43459C45" w14:textId="77777777" w:rsidR="000D3E68" w:rsidRDefault="000D3E68" w:rsidP="00973DDB">
                <w:pPr>
                  <w:pStyle w:val="Cabealho"/>
                  <w:tabs>
                    <w:tab w:val="center" w:pos="-851"/>
                  </w:tabs>
                  <w:rPr>
                    <w:rFonts w:ascii="Arial" w:hAnsi="Arial" w:cs="Arial"/>
                    <w:b/>
                    <w:bCs/>
                    <w:sz w:val="20"/>
                    <w:szCs w:val="20"/>
                  </w:rPr>
                </w:pPr>
                <w:r>
                  <w:rPr>
                    <w:rFonts w:ascii="Arial" w:hAnsi="Arial" w:cs="Arial"/>
                    <w:b/>
                    <w:bCs/>
                    <w:sz w:val="20"/>
                    <w:szCs w:val="20"/>
                  </w:rPr>
                  <w:t>AUDITORIA-GERAL DO ESTADO</w:t>
                </w:r>
              </w:p>
              <w:p w14:paraId="6088E4FF" w14:textId="77777777" w:rsidR="000D3E68" w:rsidRPr="00B52F38" w:rsidRDefault="000D3E68" w:rsidP="00973DDB">
                <w:pPr>
                  <w:pStyle w:val="Cabealho"/>
                  <w:tabs>
                    <w:tab w:val="center" w:pos="-851"/>
                  </w:tabs>
                  <w:rPr>
                    <w:rFonts w:ascii="Arial" w:hAnsi="Arial" w:cs="Arial"/>
                    <w:b/>
                    <w:bCs/>
                  </w:rPr>
                </w:pPr>
                <w:r>
                  <w:rPr>
                    <w:rFonts w:ascii="Arial" w:hAnsi="Arial" w:cs="Arial"/>
                    <w:b/>
                    <w:bCs/>
                    <w:sz w:val="20"/>
                    <w:szCs w:val="20"/>
                  </w:rPr>
                  <w:t>GERÊNCIA DE AUDITORIA DE LICITAÇÕES E CONTRATOS</w:t>
                </w:r>
              </w:p>
            </w:tc>
          </w:tr>
        </w:tbl>
        <w:p w14:paraId="0B2DF33A" w14:textId="77777777" w:rsidR="000D3E68" w:rsidRPr="00773770" w:rsidRDefault="000D3E68" w:rsidP="00973DDB">
          <w:pPr>
            <w:pStyle w:val="Cabealho"/>
            <w:jc w:val="center"/>
            <w:rPr>
              <w:rFonts w:ascii="Arial" w:hAnsi="Arial" w:cs="Arial"/>
              <w:b/>
              <w:bCs/>
              <w:sz w:val="22"/>
              <w:szCs w:val="22"/>
            </w:rPr>
          </w:pPr>
        </w:p>
      </w:tc>
      <w:tc>
        <w:tcPr>
          <w:tcW w:w="9780" w:type="dxa"/>
        </w:tcPr>
        <w:p w14:paraId="7CD8A21A" w14:textId="77777777" w:rsidR="000D3E68" w:rsidRPr="00773770" w:rsidRDefault="000D3E68" w:rsidP="00973DDB">
          <w:pPr>
            <w:pStyle w:val="Cabealho"/>
            <w:ind w:left="-112" w:firstLine="112"/>
            <w:rPr>
              <w:rFonts w:ascii="Arial" w:hAnsi="Arial" w:cs="Arial"/>
              <w:b/>
              <w:bCs/>
              <w:sz w:val="22"/>
              <w:szCs w:val="22"/>
            </w:rPr>
          </w:pPr>
        </w:p>
      </w:tc>
    </w:tr>
  </w:tbl>
  <w:p w14:paraId="45657B92" w14:textId="77777777" w:rsidR="000D3E68" w:rsidRDefault="000D3E68" w:rsidP="00973DDB">
    <w:pPr>
      <w:pStyle w:val="Cabealho"/>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05E60"/>
    <w:multiLevelType w:val="hybridMultilevel"/>
    <w:tmpl w:val="A2727FB2"/>
    <w:lvl w:ilvl="0" w:tplc="69BCD61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 w15:restartNumberingAfterBreak="0">
    <w:nsid w:val="2CD81226"/>
    <w:multiLevelType w:val="hybridMultilevel"/>
    <w:tmpl w:val="1B0E33FE"/>
    <w:lvl w:ilvl="0" w:tplc="7812C78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4F09643D"/>
    <w:multiLevelType w:val="hybridMultilevel"/>
    <w:tmpl w:val="496C4902"/>
    <w:lvl w:ilvl="0" w:tplc="A27E633C">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 w15:restartNumberingAfterBreak="0">
    <w:nsid w:val="60B84ED0"/>
    <w:multiLevelType w:val="hybridMultilevel"/>
    <w:tmpl w:val="A2727FB2"/>
    <w:lvl w:ilvl="0" w:tplc="69BCD61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BF"/>
    <w:rsid w:val="000809A2"/>
    <w:rsid w:val="000D3E68"/>
    <w:rsid w:val="001E10E2"/>
    <w:rsid w:val="00202654"/>
    <w:rsid w:val="00261100"/>
    <w:rsid w:val="002865D5"/>
    <w:rsid w:val="002B5183"/>
    <w:rsid w:val="0031234A"/>
    <w:rsid w:val="004542F1"/>
    <w:rsid w:val="004601AA"/>
    <w:rsid w:val="0053653B"/>
    <w:rsid w:val="005657F4"/>
    <w:rsid w:val="005B15E6"/>
    <w:rsid w:val="0068060D"/>
    <w:rsid w:val="00706DB2"/>
    <w:rsid w:val="00793A11"/>
    <w:rsid w:val="00847770"/>
    <w:rsid w:val="00973DDB"/>
    <w:rsid w:val="009B2D86"/>
    <w:rsid w:val="009F5CF7"/>
    <w:rsid w:val="00A06F87"/>
    <w:rsid w:val="00B6749B"/>
    <w:rsid w:val="00C2605C"/>
    <w:rsid w:val="00C8364F"/>
    <w:rsid w:val="00D623BF"/>
    <w:rsid w:val="00D92918"/>
    <w:rsid w:val="00EB22F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460036"/>
  <w14:defaultImageDpi w14:val="300"/>
  <w15:docId w15:val="{025E2D3C-B4C2-4AAE-BC4E-DFB43F78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3BF"/>
    <w:pPr>
      <w:jc w:val="both"/>
    </w:pPr>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D623BF"/>
    <w:rPr>
      <w:sz w:val="28"/>
      <w:szCs w:val="28"/>
    </w:rPr>
  </w:style>
  <w:style w:type="character" w:customStyle="1" w:styleId="CorpodetextoChar">
    <w:name w:val="Corpo de texto Char"/>
    <w:basedOn w:val="Fontepargpadro"/>
    <w:link w:val="Corpodetexto"/>
    <w:uiPriority w:val="99"/>
    <w:rsid w:val="00D623BF"/>
    <w:rPr>
      <w:rFonts w:ascii="Times New Roman" w:eastAsia="Times New Roman" w:hAnsi="Times New Roman" w:cs="Times New Roman"/>
      <w:sz w:val="28"/>
      <w:szCs w:val="28"/>
      <w:lang w:eastAsia="pt-BR"/>
    </w:rPr>
  </w:style>
  <w:style w:type="paragraph" w:styleId="Cabealho">
    <w:name w:val="header"/>
    <w:basedOn w:val="Normal"/>
    <w:link w:val="CabealhoChar"/>
    <w:unhideWhenUsed/>
    <w:rsid w:val="00D623BF"/>
    <w:pPr>
      <w:tabs>
        <w:tab w:val="center" w:pos="4252"/>
        <w:tab w:val="right" w:pos="8504"/>
      </w:tabs>
    </w:pPr>
  </w:style>
  <w:style w:type="character" w:customStyle="1" w:styleId="CabealhoChar">
    <w:name w:val="Cabeçalho Char"/>
    <w:basedOn w:val="Fontepargpadro"/>
    <w:link w:val="Cabealho"/>
    <w:rsid w:val="00D623BF"/>
    <w:rPr>
      <w:rFonts w:ascii="Times New Roman" w:eastAsia="Times New Roman" w:hAnsi="Times New Roman" w:cs="Times New Roman"/>
      <w:lang w:eastAsia="pt-BR"/>
    </w:rPr>
  </w:style>
  <w:style w:type="paragraph" w:styleId="Rodap">
    <w:name w:val="footer"/>
    <w:basedOn w:val="Normal"/>
    <w:link w:val="RodapChar"/>
    <w:uiPriority w:val="99"/>
    <w:unhideWhenUsed/>
    <w:rsid w:val="00D623BF"/>
    <w:pPr>
      <w:tabs>
        <w:tab w:val="center" w:pos="4252"/>
        <w:tab w:val="right" w:pos="8504"/>
      </w:tabs>
    </w:pPr>
  </w:style>
  <w:style w:type="character" w:customStyle="1" w:styleId="RodapChar">
    <w:name w:val="Rodapé Char"/>
    <w:basedOn w:val="Fontepargpadro"/>
    <w:link w:val="Rodap"/>
    <w:uiPriority w:val="99"/>
    <w:rsid w:val="00D623BF"/>
    <w:rPr>
      <w:rFonts w:ascii="Times New Roman" w:eastAsia="Times New Roman" w:hAnsi="Times New Roman" w:cs="Times New Roman"/>
      <w:lang w:eastAsia="pt-BR"/>
    </w:rPr>
  </w:style>
  <w:style w:type="character" w:styleId="Hyperlink">
    <w:name w:val="Hyperlink"/>
    <w:unhideWhenUsed/>
    <w:rsid w:val="00D623BF"/>
    <w:rPr>
      <w:color w:val="0000FF"/>
      <w:u w:val="single"/>
    </w:rPr>
  </w:style>
  <w:style w:type="paragraph" w:styleId="PargrafodaLista">
    <w:name w:val="List Paragraph"/>
    <w:basedOn w:val="Normal"/>
    <w:uiPriority w:val="34"/>
    <w:qFormat/>
    <w:rsid w:val="00D623BF"/>
    <w:pPr>
      <w:ind w:left="720"/>
      <w:contextualSpacing/>
    </w:pPr>
  </w:style>
  <w:style w:type="table" w:styleId="Tabelacomgrade">
    <w:name w:val="Table Grid"/>
    <w:basedOn w:val="Tabelanormal"/>
    <w:uiPriority w:val="59"/>
    <w:rsid w:val="00D623BF"/>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623BF"/>
    <w:rPr>
      <w:rFonts w:ascii="Lucida Grande" w:hAnsi="Lucida Grande"/>
      <w:sz w:val="18"/>
      <w:szCs w:val="18"/>
    </w:rPr>
  </w:style>
  <w:style w:type="character" w:customStyle="1" w:styleId="TextodebaloChar">
    <w:name w:val="Texto de balão Char"/>
    <w:basedOn w:val="Fontepargpadro"/>
    <w:link w:val="Textodebalo"/>
    <w:uiPriority w:val="99"/>
    <w:semiHidden/>
    <w:rsid w:val="00D623BF"/>
    <w:rPr>
      <w:rFonts w:ascii="Lucida Grande" w:eastAsia="Times New Roman" w:hAnsi="Lucida Grande" w:cs="Times New Roman"/>
      <w:sz w:val="18"/>
      <w:szCs w:val="18"/>
      <w:lang w:eastAsia="pt-BR"/>
    </w:rPr>
  </w:style>
  <w:style w:type="paragraph" w:customStyle="1" w:styleId="texto1">
    <w:name w:val="texto1"/>
    <w:basedOn w:val="Normal"/>
    <w:rsid w:val="004601AA"/>
    <w:pPr>
      <w:spacing w:before="100" w:beforeAutospacing="1" w:after="100" w:afterAutospacing="1"/>
      <w:jc w:val="left"/>
    </w:pPr>
    <w:rPr>
      <w:rFonts w:ascii="Times" w:eastAsiaTheme="minorEastAsia" w:hAnsi="Times"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67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nalto.gov.br/ccivil_03/_Ato2011-2014/2011/Lei/L12527.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8666con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nalto.gov.br/ccivil_03/LEIS/L8666cons.htm" TargetMode="External"/><Relationship Id="rId4" Type="http://schemas.openxmlformats.org/officeDocument/2006/relationships/webSettings" Target="webSettings.xml"/><Relationship Id="rId9" Type="http://schemas.openxmlformats.org/officeDocument/2006/relationships/hyperlink" Target="http://www.planalto.gov.br/ccivil_03/LEIS/L8666cons.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cgesc@cg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3935</Words>
  <Characters>21254</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Isadora Castelli</dc:creator>
  <cp:keywords/>
  <dc:description/>
  <cp:lastModifiedBy>Eduardo Maciel Bittencourt</cp:lastModifiedBy>
  <cp:revision>2</cp:revision>
  <dcterms:created xsi:type="dcterms:W3CDTF">2021-03-16T19:48:00Z</dcterms:created>
  <dcterms:modified xsi:type="dcterms:W3CDTF">2021-03-16T19:48:00Z</dcterms:modified>
</cp:coreProperties>
</file>