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2CBC" w14:textId="5079694D" w:rsidR="00D22F70" w:rsidRDefault="00BF37F2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DECRETO Nº 650, DE 5 DE JUNHO DE 2020</w:t>
      </w:r>
      <w:r w:rsidR="00BA27AD">
        <w:rPr>
          <w:b/>
          <w:color w:val="000000"/>
        </w:rPr>
        <w:t xml:space="preserve">  </w:t>
      </w:r>
      <w:r w:rsidR="00BA27AD" w:rsidRPr="00BA27AD">
        <w:rPr>
          <w:b/>
          <w:color w:val="FF0000"/>
        </w:rPr>
        <w:t>(COMPILADO</w:t>
      </w:r>
      <w:r w:rsidR="00BA27AD">
        <w:rPr>
          <w:b/>
          <w:color w:val="000000"/>
        </w:rPr>
        <w:t>)</w:t>
      </w:r>
    </w:p>
    <w:p w14:paraId="042607D6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4207408F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2B44810C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7E176DB1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63D81250" w14:textId="77777777" w:rsidR="00D22F70" w:rsidRDefault="0015785E">
      <w:pPr>
        <w:ind w:left="2552"/>
        <w:jc w:val="both"/>
      </w:pPr>
      <w:r>
        <w:t>Dispõe sobre a concessão de diárias no âmbito da Administração Pública Estadual Direta, Autárquica e Fundacional e estabelece outras providências.</w:t>
      </w:r>
    </w:p>
    <w:p w14:paraId="7343805E" w14:textId="77777777" w:rsidR="00D22F70" w:rsidRPr="00D3128B" w:rsidRDefault="00D22F70">
      <w:pPr>
        <w:ind w:left="2552"/>
        <w:jc w:val="both"/>
        <w:rPr>
          <w:sz w:val="24"/>
          <w:szCs w:val="24"/>
        </w:rPr>
      </w:pPr>
    </w:p>
    <w:p w14:paraId="7FA09945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4F24E779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55D0ED17" w14:textId="77777777" w:rsidR="00D22F70" w:rsidRDefault="0015785E">
      <w:pPr>
        <w:ind w:firstLine="2552"/>
        <w:jc w:val="both"/>
        <w:rPr>
          <w:color w:val="000000"/>
        </w:rPr>
      </w:pPr>
      <w:r>
        <w:rPr>
          <w:b/>
          <w:color w:val="000000"/>
        </w:rPr>
        <w:t>O GOVERNADOR DO ESTADO DE SANTA CATARINA</w:t>
      </w:r>
      <w:r>
        <w:rPr>
          <w:color w:val="000000"/>
        </w:rPr>
        <w:t>,</w:t>
      </w:r>
      <w:r>
        <w:rPr>
          <w:color w:val="000000"/>
        </w:rPr>
        <w:br/>
        <w:t xml:space="preserve">no uso das atribuições privativas que lhe conferem os incisos I, III e IV do art. 71 da Constituição do Estado, conforme o disposto nos arts. 102 e 103 da Lei nº 6.745, de </w:t>
      </w:r>
      <w:r>
        <w:rPr>
          <w:color w:val="000000"/>
        </w:rPr>
        <w:br/>
        <w:t xml:space="preserve">28 de dezembro de 1985, nos arts. 199, 200, 201 e 274 da Lei nº 6.843, de 28 de julho </w:t>
      </w:r>
      <w:r>
        <w:rPr>
          <w:color w:val="000000"/>
        </w:rPr>
        <w:br/>
        <w:t>de 1986, e nos arts. 91, 92 e 219 da Lei nº 6.844, de 29 de julho de 1986, e de acordo com o que consta nos autos do processo nº SEA 14525/2019,</w:t>
      </w:r>
    </w:p>
    <w:p w14:paraId="4B2466EB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4E8D1DDC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16BF6E9F" w14:textId="7777777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b/>
          <w:color w:val="000000"/>
        </w:rPr>
      </w:pPr>
      <w:r>
        <w:rPr>
          <w:b/>
          <w:color w:val="000000"/>
        </w:rPr>
        <w:t>DECRETA:</w:t>
      </w:r>
    </w:p>
    <w:p w14:paraId="49037A3D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25756402" w14:textId="77777777" w:rsidR="00D22F70" w:rsidRPr="00D3128B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  <w:sz w:val="24"/>
          <w:szCs w:val="24"/>
        </w:rPr>
      </w:pPr>
    </w:p>
    <w:p w14:paraId="238A5F25" w14:textId="041E7FAA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1º O servidor da Administração Pública Estadual Direta, Autárquica e Fundacional que se deslocar temporariamente da localidade onde tem exercício, a serviço ou para participar de evento de interesse da Administração Pública</w:t>
      </w:r>
      <w:r w:rsidR="00803D12">
        <w:rPr>
          <w:color w:val="000000"/>
        </w:rPr>
        <w:t xml:space="preserve"> Estadual do Poder Executivo</w:t>
      </w:r>
      <w:r>
        <w:rPr>
          <w:color w:val="000000"/>
        </w:rPr>
        <w:t>, desde que prévia e formalmente autorizado pelo ordenador de despesas ou por quem detenha competência delegada para fazê-lo, fará jus à percepção de diárias segundo as disposições deste Decreto.</w:t>
      </w:r>
    </w:p>
    <w:p w14:paraId="0E70CDAF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188F71BE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Parágrafo único. Consideram-se servidor, para fins deste Decreto:</w:t>
      </w:r>
    </w:p>
    <w:p w14:paraId="520B3E38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145ECD07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 – servidores públicos titulares de cargo de provimento efetivo ou servidores ocupantes de cargos em comissão;</w:t>
      </w:r>
    </w:p>
    <w:p w14:paraId="13EC417D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699917DF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 – militares;</w:t>
      </w:r>
    </w:p>
    <w:p w14:paraId="3135C072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7624A79B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III – agentes políticos;</w:t>
      </w:r>
    </w:p>
    <w:p w14:paraId="773EEF79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4475F310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IV – servidores admitidos em caráter temporário (ACTs);</w:t>
      </w:r>
    </w:p>
    <w:p w14:paraId="7BFA7B42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535799FF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V – servidores convocados, colocados à disposição ou cedidos por convênio para prestar serviços à Administração Pública Estadual Direta, Autárquica e Fundacional, observada a equivalência hierárquica do cargo, da função ou do emprego de que é detentor no órgão ou na entidade de origem; e</w:t>
      </w:r>
    </w:p>
    <w:p w14:paraId="62BBB1C3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559F75C8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VI – membros de Conselho Estadual.</w:t>
      </w:r>
    </w:p>
    <w:p w14:paraId="617661BB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1590283D" w14:textId="77777777" w:rsidR="00D22F70" w:rsidRPr="00700C04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  <w:r w:rsidRPr="00700C04">
        <w:rPr>
          <w:strike/>
          <w:color w:val="000000"/>
        </w:rPr>
        <w:t>Art. 2º A diária, concedida por dia de deslocamento, assim entendido o período de 24 (vinte e quatro) horas contadas da partida do servidor, destina-se a indenizá-lo das despesas com alimentação, hospedagem e deslocamento.</w:t>
      </w:r>
    </w:p>
    <w:p w14:paraId="1515D7E1" w14:textId="16934E6F" w:rsidR="00700C04" w:rsidRDefault="00700C0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 w:rsidRPr="00167291">
        <w:lastRenderedPageBreak/>
        <w:t>Art. 2</w:t>
      </w:r>
      <w:r>
        <w:t>º</w:t>
      </w:r>
      <w:r w:rsidRPr="00167291">
        <w:t xml:space="preserve"> A diária, concedida por dia de deslocamento, assim entendido o período de 24 (vinte e quatro) horas contadas da partida do servidor, destina-se a indenizá-lo das despesas com alimentação, hospedagem e deslocamentos no local </w:t>
      </w:r>
      <w:r w:rsidRPr="00A37A3D">
        <w:t>de</w:t>
      </w:r>
      <w:r w:rsidRPr="00672F70">
        <w:t xml:space="preserve"> </w:t>
      </w:r>
      <w:r w:rsidRPr="0021670E">
        <w:t>destino.</w:t>
      </w:r>
      <w:r>
        <w:t xml:space="preserve"> </w:t>
      </w:r>
      <w:r w:rsidRPr="00700C04">
        <w:rPr>
          <w:color w:val="0070C0"/>
        </w:rPr>
        <w:t>(NR dada pelo Decreto nº 1.394, de 04 de agosto de 2021)</w:t>
      </w:r>
    </w:p>
    <w:p w14:paraId="02078A7D" w14:textId="77777777" w:rsidR="00700C04" w:rsidRDefault="00700C0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67089B9B" w14:textId="77777777" w:rsidR="00D22F70" w:rsidRPr="00D459A4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  <w:r w:rsidRPr="00D459A4">
        <w:rPr>
          <w:strike/>
          <w:color w:val="000000"/>
        </w:rPr>
        <w:t>Parágrafo único. O servidor fará jus:</w:t>
      </w:r>
    </w:p>
    <w:p w14:paraId="50466A7D" w14:textId="77777777" w:rsidR="00D22F70" w:rsidRPr="00D459A4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</w:p>
    <w:p w14:paraId="38702DCE" w14:textId="77777777" w:rsidR="00D22F70" w:rsidRPr="00D459A4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  <w:r w:rsidRPr="00D459A4">
        <w:rPr>
          <w:strike/>
          <w:color w:val="000000"/>
        </w:rPr>
        <w:t>I – ao valor integral da diária quando o período de deslocamento for igual ou superior a 12 (doze) horas; ou</w:t>
      </w:r>
    </w:p>
    <w:p w14:paraId="4299FCFF" w14:textId="77777777" w:rsidR="00D22F70" w:rsidRPr="00D459A4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</w:p>
    <w:p w14:paraId="288B8F37" w14:textId="5A3DDAA9" w:rsidR="00D22F70" w:rsidRPr="00D459A4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  <w:r w:rsidRPr="00D459A4">
        <w:rPr>
          <w:strike/>
          <w:color w:val="000000"/>
        </w:rPr>
        <w:t>II – à metade do valor da diária quando o período de deslocamento for superior a 4 (quatro) horas e inferior a 12 (doze) horas.</w:t>
      </w:r>
      <w:r w:rsidR="00B66F81">
        <w:rPr>
          <w:strike/>
          <w:color w:val="000000"/>
        </w:rPr>
        <w:t xml:space="preserve"> </w:t>
      </w:r>
    </w:p>
    <w:p w14:paraId="0D01FCE3" w14:textId="77777777" w:rsidR="00D22F70" w:rsidRPr="00B66F81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</w:p>
    <w:p w14:paraId="30F8C447" w14:textId="79AA9352" w:rsidR="00D459A4" w:rsidRPr="00B66F81" w:rsidRDefault="00D459A4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  <w:r w:rsidRPr="00B66F81">
        <w:t>§ 1º</w:t>
      </w:r>
      <w:r w:rsidR="00245149" w:rsidRPr="00B66F81">
        <w:t xml:space="preserve"> O servidor fará jus:</w:t>
      </w:r>
    </w:p>
    <w:p w14:paraId="1FE2A3BB" w14:textId="77777777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</w:p>
    <w:p w14:paraId="54B008FC" w14:textId="58C2C32C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  <w:r w:rsidRPr="00B66F81">
        <w:t>I – ao valor integral da diária quando o período de deslocamento for igual ou superior a 12 (doze) horas; ou</w:t>
      </w:r>
    </w:p>
    <w:p w14:paraId="135FAED4" w14:textId="77777777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</w:p>
    <w:p w14:paraId="42C645C0" w14:textId="105E35CE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  <w:r w:rsidRPr="00B66F81">
        <w:t>II – à metade do valor da diária quando o período de deslocamento for superior a 4 (quatro) horas e inferior a 12 (doze) horas.</w:t>
      </w:r>
    </w:p>
    <w:p w14:paraId="31CA4EFD" w14:textId="77777777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</w:p>
    <w:p w14:paraId="26E35B80" w14:textId="6FA14F18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  <w:r w:rsidRPr="00B66F81">
        <w:t>§ 2</w:t>
      </w:r>
      <w:r w:rsidRPr="00B66F81">
        <w:t xml:space="preserve">º </w:t>
      </w:r>
      <w:r w:rsidRPr="00B66F81">
        <w:t>Para os servidores enquadrados nos grupos 1 a 3 do Anexo Único deste Decreto, o valor da diária para deslocamento dentro do Estado, quando o período for igual ou superior a 12 (doze) horas, com necessidade de pernoite, será de R</w:t>
      </w:r>
      <w:r w:rsidR="00B66F81" w:rsidRPr="00B66F81">
        <w:t>$</w:t>
      </w:r>
      <w:r w:rsidRPr="00B66F81">
        <w:t xml:space="preserve"> 220,00 (duzentos e vinte reais).</w:t>
      </w:r>
    </w:p>
    <w:p w14:paraId="21022321" w14:textId="77777777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</w:p>
    <w:p w14:paraId="1B539E09" w14:textId="379502CE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70C0"/>
        </w:rPr>
      </w:pPr>
      <w:r w:rsidRPr="00B66F81">
        <w:t xml:space="preserve">§ </w:t>
      </w:r>
      <w:r w:rsidRPr="00B66F81">
        <w:t>3</w:t>
      </w:r>
      <w:r w:rsidRPr="00B66F81">
        <w:t xml:space="preserve">º </w:t>
      </w:r>
      <w:r w:rsidRPr="00B66F81">
        <w:t xml:space="preserve">Considera-se pernoite quando, no deslocamento de que trata o caput deste artigo, estiver contido o período da meia-noite às 6 horas. </w:t>
      </w:r>
      <w:r w:rsidRPr="00B66F81">
        <w:rPr>
          <w:color w:val="0070C0"/>
        </w:rPr>
        <w:t>(</w:t>
      </w:r>
      <w:r w:rsidR="005E3084">
        <w:rPr>
          <w:color w:val="0070C0"/>
        </w:rPr>
        <w:t>N</w:t>
      </w:r>
      <w:r w:rsidRPr="00B66F81">
        <w:rPr>
          <w:color w:val="0070C0"/>
        </w:rPr>
        <w:t>R</w:t>
      </w:r>
      <w:bookmarkStart w:id="0" w:name="_GoBack"/>
      <w:bookmarkEnd w:id="0"/>
      <w:r w:rsidR="00B66F81" w:rsidRPr="00B66F81">
        <w:rPr>
          <w:color w:val="0070C0"/>
        </w:rPr>
        <w:t xml:space="preserve"> dada pelo Decreto nº 1.662, de 6 de janeiro de 2022</w:t>
      </w:r>
      <w:r w:rsidRPr="00B66F81">
        <w:rPr>
          <w:color w:val="0070C0"/>
        </w:rPr>
        <w:t>)</w:t>
      </w:r>
    </w:p>
    <w:p w14:paraId="7056A9E2" w14:textId="77777777" w:rsidR="00245149" w:rsidRPr="00B66F81" w:rsidRDefault="00245149" w:rsidP="00B66F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</w:pPr>
    </w:p>
    <w:p w14:paraId="204F4405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3º Não será concedida diária quando o deslocamento:</w:t>
      </w:r>
    </w:p>
    <w:p w14:paraId="1BF12619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D4F3BFE" w14:textId="7E069240" w:rsidR="00D22F70" w:rsidRPr="00DA2F71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  <w:r w:rsidRPr="00DA2F71">
        <w:rPr>
          <w:strike/>
          <w:color w:val="000000"/>
        </w:rPr>
        <w:t>I – for igual ou inferior a 4 (quatro) horas, ocorrer durante a jornada normal de trabalho do servidor e não demandar dele gastos com</w:t>
      </w:r>
      <w:r w:rsidR="00803D12" w:rsidRPr="00DA2F71">
        <w:rPr>
          <w:strike/>
          <w:color w:val="000000"/>
        </w:rPr>
        <w:t xml:space="preserve"> alimentação, hospedagem e deslocamento</w:t>
      </w:r>
      <w:r w:rsidRPr="00DA2F71">
        <w:rPr>
          <w:strike/>
          <w:color w:val="000000"/>
        </w:rPr>
        <w:t>;</w:t>
      </w:r>
      <w:r w:rsidR="00DA2F71" w:rsidRPr="00833F40">
        <w:rPr>
          <w:color w:val="000000"/>
        </w:rPr>
        <w:t xml:space="preserve"> </w:t>
      </w:r>
      <w:r w:rsidR="00DA2F71" w:rsidRPr="00700C04">
        <w:rPr>
          <w:color w:val="0070C0"/>
        </w:rPr>
        <w:t>(</w:t>
      </w:r>
      <w:r w:rsidR="00833F40">
        <w:rPr>
          <w:color w:val="0070C0"/>
        </w:rPr>
        <w:t>Revogado pelo art. 6º do</w:t>
      </w:r>
      <w:r w:rsidR="00DA2F71" w:rsidRPr="00700C04">
        <w:rPr>
          <w:color w:val="0070C0"/>
        </w:rPr>
        <w:t xml:space="preserve"> Decreto nº 1.394, de 04 de agosto de 2021)</w:t>
      </w:r>
    </w:p>
    <w:p w14:paraId="33BD2783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7AA194D1" w14:textId="77777777" w:rsidR="00D22F70" w:rsidRPr="00DB11ED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strike/>
          <w:color w:val="000000"/>
        </w:rPr>
      </w:pPr>
      <w:r w:rsidRPr="00DB11ED">
        <w:rPr>
          <w:strike/>
          <w:color w:val="000000"/>
        </w:rPr>
        <w:t>II – ocorrer entre Municípios limítrofes ou entre Municípios abrangidos por região metropolitana;</w:t>
      </w:r>
    </w:p>
    <w:p w14:paraId="23D71A07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7470969C" w14:textId="6053F48D" w:rsidR="00DB11ED" w:rsidRPr="00E129FE" w:rsidRDefault="00DB11ED" w:rsidP="00DB11ED">
      <w:pPr>
        <w:pStyle w:val="Cabealho"/>
        <w:tabs>
          <w:tab w:val="left" w:pos="708"/>
        </w:tabs>
        <w:ind w:firstLine="2552"/>
        <w:jc w:val="both"/>
        <w:rPr>
          <w:strike/>
        </w:rPr>
      </w:pPr>
      <w:r w:rsidRPr="00167291">
        <w:t xml:space="preserve">II – ocorrer entre Municípios limítrofes </w:t>
      </w:r>
      <w:r w:rsidRPr="00C11BA0">
        <w:t>e desde que não haja necessidade de pernoite;</w:t>
      </w:r>
      <w:r>
        <w:t xml:space="preserve"> </w:t>
      </w:r>
      <w:r w:rsidRPr="00700C04">
        <w:rPr>
          <w:color w:val="0070C0"/>
        </w:rPr>
        <w:t>(NR dada pelo Decreto nº 1.394, de 04 de agosto de 2021)</w:t>
      </w:r>
    </w:p>
    <w:p w14:paraId="4FD800DB" w14:textId="77777777" w:rsidR="00DB11ED" w:rsidRDefault="00DB11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E0E3B03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III – ocorrer em razão de convite de instituição pública ou empresa privada, correndo as despesas por conta delas; ou</w:t>
      </w:r>
    </w:p>
    <w:p w14:paraId="52FAABF8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75A426AD" w14:textId="39D7F5EB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IV – </w:t>
      </w:r>
      <w:r w:rsidR="009D6597">
        <w:rPr>
          <w:color w:val="000000"/>
        </w:rPr>
        <w:t>ocorrer com as despesas custeadas</w:t>
      </w:r>
      <w:r w:rsidR="00803D12" w:rsidRPr="00803D12">
        <w:rPr>
          <w:color w:val="000000"/>
        </w:rPr>
        <w:t xml:space="preserve"> pelo Estado, </w:t>
      </w:r>
      <w:r w:rsidR="009D6597">
        <w:rPr>
          <w:color w:val="000000"/>
        </w:rPr>
        <w:t>mediante o</w:t>
      </w:r>
      <w:r w:rsidR="00803D12" w:rsidRPr="00803D12">
        <w:rPr>
          <w:color w:val="000000"/>
        </w:rPr>
        <w:t xml:space="preserve"> fornecimento d</w:t>
      </w:r>
      <w:r w:rsidR="00803D12">
        <w:rPr>
          <w:color w:val="000000"/>
        </w:rPr>
        <w:t>e</w:t>
      </w:r>
      <w:r w:rsidR="00803D12" w:rsidRPr="00803D12">
        <w:rPr>
          <w:color w:val="000000"/>
        </w:rPr>
        <w:t xml:space="preserve"> 3 (três) refeições diárias e </w:t>
      </w:r>
      <w:r w:rsidR="00803D12">
        <w:rPr>
          <w:color w:val="000000"/>
        </w:rPr>
        <w:t>acomodação</w:t>
      </w:r>
      <w:r w:rsidR="00803D12" w:rsidRPr="00803D12">
        <w:rPr>
          <w:color w:val="000000"/>
        </w:rPr>
        <w:t xml:space="preserve"> em hotel ou similar, contratado gratuitamente ou não, caso em que será feito o registro das informações orçamentárias e financeiras</w:t>
      </w:r>
      <w:r w:rsidR="00803D12">
        <w:rPr>
          <w:color w:val="000000"/>
        </w:rPr>
        <w:t xml:space="preserve"> e</w:t>
      </w:r>
      <w:r w:rsidR="00803D12" w:rsidRPr="00803D12">
        <w:rPr>
          <w:color w:val="000000"/>
        </w:rPr>
        <w:t xml:space="preserve"> do evento </w:t>
      </w:r>
      <w:r w:rsidR="00803D12">
        <w:rPr>
          <w:color w:val="000000"/>
        </w:rPr>
        <w:t>do qual</w:t>
      </w:r>
      <w:r w:rsidR="00803D12" w:rsidRPr="00803D12">
        <w:rPr>
          <w:color w:val="000000"/>
        </w:rPr>
        <w:t xml:space="preserve"> </w:t>
      </w:r>
      <w:r w:rsidR="00F65167">
        <w:rPr>
          <w:color w:val="000000"/>
        </w:rPr>
        <w:t xml:space="preserve">o servidor </w:t>
      </w:r>
      <w:r w:rsidR="00803D12" w:rsidRPr="00803D12">
        <w:rPr>
          <w:color w:val="000000"/>
        </w:rPr>
        <w:t>participou, no respectivo assentamento funcional, nos termos da legislação vigente</w:t>
      </w:r>
      <w:r>
        <w:rPr>
          <w:color w:val="000000"/>
        </w:rPr>
        <w:t>.</w:t>
      </w:r>
    </w:p>
    <w:p w14:paraId="356CB608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26901C10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Art. 4º A diária será custeada pelo órgão ou pela entidade em </w:t>
      </w:r>
      <w:r>
        <w:rPr>
          <w:color w:val="000000"/>
        </w:rPr>
        <w:lastRenderedPageBreak/>
        <w:t>que o servidor estiver em exercício.</w:t>
      </w:r>
    </w:p>
    <w:p w14:paraId="01914C69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3E2D0D45" w14:textId="475A371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Parágrafo único. </w:t>
      </w:r>
      <w:r w:rsidR="00F65167" w:rsidRPr="00F65167">
        <w:rPr>
          <w:color w:val="000000"/>
        </w:rPr>
        <w:t>Os órgãos centrais de sistemas administrativos poderão custear as despesas com diárias e deslocamento quando da convocação de servidores dos órgãos setoriais regionais e seccionais para participação em reuniões de trabalho e de capacitação</w:t>
      </w:r>
      <w:r>
        <w:rPr>
          <w:color w:val="000000"/>
        </w:rPr>
        <w:t>.</w:t>
      </w:r>
    </w:p>
    <w:p w14:paraId="6162E196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297534C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5º Os valores das diárias serão fixados por grupos de cargos e funções, de acordo com a tabela constante do Anexo Único deste Decreto.</w:t>
      </w:r>
    </w:p>
    <w:p w14:paraId="10765E62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280F8FE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1º Os valores das diárias serão acrescidos de 25% (vinte e cinco por cento) para o 1º, 2º e 3º Grupos da tabela constante do Anexo Único deste Decreto, quando o deslocamento ocorrer para as capitais dos Estados de São Paulo e do Rio de Janeiro e para a Capital Federal.</w:t>
      </w:r>
    </w:p>
    <w:p w14:paraId="78102A2A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1F2E95A1" w14:textId="17466F72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2º Os membros de Conselhos Estaduais</w:t>
      </w:r>
      <w:r w:rsidR="006D3306">
        <w:rPr>
          <w:color w:val="000000"/>
        </w:rPr>
        <w:t>,</w:t>
      </w:r>
      <w:r>
        <w:rPr>
          <w:color w:val="000000"/>
        </w:rPr>
        <w:t xml:space="preserve"> ocupantes de cargo ou de emprego público ou não</w:t>
      </w:r>
      <w:r w:rsidR="006D3306">
        <w:rPr>
          <w:color w:val="000000"/>
        </w:rPr>
        <w:t>,</w:t>
      </w:r>
      <w:r>
        <w:rPr>
          <w:color w:val="000000"/>
        </w:rPr>
        <w:t xml:space="preserve"> farão jus ao valor da diária do 2º Grupo da tabela constante do Anexo Único deste Decreto, desde que autorizado pela lei que instituiu o Conselho, sendo vedado estabelecer outros valores em regulamentos ou regimentos internos.</w:t>
      </w:r>
    </w:p>
    <w:p w14:paraId="592F0B71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7CD6D29A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3º Os servidores lotados ou em exercício na Casa Civil, na Secretaria Executiva da Casa Militar, no Gabinete do Governador do Estado e no Gabinete do Vice-Governador do Estado, quando estiverem acompanhando o Governador do Estado ou o Vice-Governador do Estado em viagem oficial, ficam equiparados aos servidores inseridos no 4º Grupo do Anexo I deste Decreto.</w:t>
      </w:r>
    </w:p>
    <w:p w14:paraId="585A5501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1C7BF955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4º O servidor público titular de cargo de provimento efetivo da Administração Pública Estadual Direta, Autárquica e Fundacional do Poder Executivo investido em cargo comissionado ou em função de confiança poderá optar entre perceber diária no valor fixado para o cargo efetivo, para o cargo comissionado ou para a função de confiança que ocupe.</w:t>
      </w:r>
    </w:p>
    <w:p w14:paraId="5B18EFEB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66B8F37E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6º O valor da diária para viagens ao exterior, fixado em dólar dos Estados Unidos da América (US$), será pago em real (R$) e será calculado com base na cotação do dólar turismo do dia anterior ao pagamento da diária.</w:t>
      </w:r>
    </w:p>
    <w:p w14:paraId="606222E8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2FE1FAF8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Parágrafo único. Nos países em que a moeda corrente tenha cotação superior à do dólar, o valor da diária será calculado com base na cotação da moeda do destino, mantido o mesmo quantitativo previsto para o dólar na tabela constante do Anexo Único deste Decreto.</w:t>
      </w:r>
    </w:p>
    <w:p w14:paraId="0B65CA06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5B03F80F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7º A autorização para deslocamento e concessão de diária será deferida após solicitação formalizada e direcionada ao ordenador de despesas do órgão ou da entidade em que o servidor esteja lotado, com anuência de sua chefia imediata, na qual constarão os dados do servidor, a justificativa do deslocamento, o período do deslocamento e o destino.</w:t>
      </w:r>
    </w:p>
    <w:p w14:paraId="425033E9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19E45108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§ 1º A solicitação de que trata o </w:t>
      </w:r>
      <w:r>
        <w:rPr>
          <w:i/>
          <w:color w:val="000000"/>
        </w:rPr>
        <w:t>caput</w:t>
      </w:r>
      <w:r>
        <w:rPr>
          <w:color w:val="000000"/>
        </w:rPr>
        <w:t xml:space="preserve"> deste artigo deve ser apresentada ao responsável por creditar o valor da diária, no mínimo, 3 (três) dias úteis antes do deslocamento do servidor.</w:t>
      </w:r>
    </w:p>
    <w:p w14:paraId="67055C26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53ACF924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2º Não será aceita solicitação preenchida de modo incompleto ou sem clareza.</w:t>
      </w:r>
    </w:p>
    <w:p w14:paraId="2DDEC407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5613143D" w14:textId="2B30FBEF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lastRenderedPageBreak/>
        <w:t>§ 3º Quando o deslocamento ocorrer sexta-feira, sábado, domingo ou feriado, as solicitações de autorização e de pagamento de diária serão</w:t>
      </w:r>
      <w:r w:rsidR="00F65167">
        <w:rPr>
          <w:color w:val="000000"/>
        </w:rPr>
        <w:t xml:space="preserve"> realizadas por meio de justificação específica</w:t>
      </w:r>
      <w:r>
        <w:rPr>
          <w:color w:val="000000"/>
        </w:rPr>
        <w:t>, de modo que a própria aceitação da justificativa pelo ordenador de despesas configurará a autorização do pagamento.</w:t>
      </w:r>
    </w:p>
    <w:p w14:paraId="34FC3DE1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4BDEB2C9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8º A autorização de deslocamento para viagens ao exterior e do crédito do valor da diária será dada pelo Governador do Estado ou por autoridade por ele delegada, cumprida a exigência de prévio deferimento da solicitação, realizada por meio de formulário específico, pela autoridade máxima ou autoridade delegada do órgão ou da entidade em que o servidor estiver lotado.</w:t>
      </w:r>
    </w:p>
    <w:p w14:paraId="397D9EE3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23454A73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§ 1º A solicitação de que trata o </w:t>
      </w:r>
      <w:r>
        <w:rPr>
          <w:i/>
          <w:color w:val="000000"/>
        </w:rPr>
        <w:t>caput</w:t>
      </w:r>
      <w:r>
        <w:rPr>
          <w:color w:val="000000"/>
        </w:rPr>
        <w:t xml:space="preserve"> deste artigo deve ser apresentada ao responsável por creditar o valor da diária, no mínimo, 10 (dez) dias úteis antes da viagem do servidor e não será aceita se preenchida de modo incompleto ou sem clareza.</w:t>
      </w:r>
    </w:p>
    <w:p w14:paraId="3445EB67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7964AF2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2º Somente será creditado o valor da diária para a realização de viagem ao exterior, depois que o ato do Governador do Estado autorizando o servidor a ausentar-se do País for publicado no Diário Oficial do Estado.</w:t>
      </w:r>
    </w:p>
    <w:p w14:paraId="26A031C1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6AA170C8" w14:textId="5501402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Art. 9º O servidor, quando se deslocar temporariamente ao exterior para acompanhar missão oficial liderada pelo Governador do Estado ou pelo </w:t>
      </w:r>
      <w:r w:rsidR="00F47334">
        <w:rPr>
          <w:color w:val="000000"/>
        </w:rPr>
        <w:br/>
      </w:r>
      <w:r>
        <w:rPr>
          <w:color w:val="000000"/>
        </w:rPr>
        <w:t>Vice-Governador do Estado, desde que prévia e formalmente autorizado pela autoridade que comandar a missão, poderá ser ressarcido das despesas com hospedagem, de acordo com as disposições deste artigo.</w:t>
      </w:r>
    </w:p>
    <w:p w14:paraId="4E70A749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52CE744F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§ 1º O Governador do Estado ou o Vice-Governador do Estado poderá autorizar, prévia e expressamente, que o servidor de que trata o </w:t>
      </w:r>
      <w:r>
        <w:rPr>
          <w:i/>
          <w:color w:val="000000"/>
        </w:rPr>
        <w:t>caput</w:t>
      </w:r>
      <w:r>
        <w:rPr>
          <w:color w:val="000000"/>
        </w:rPr>
        <w:t xml:space="preserve"> deste artigo se hospede no mesmo estabelecimento em que vier a se hospedar.</w:t>
      </w:r>
    </w:p>
    <w:p w14:paraId="5550DDE7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1A5DD3A4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2º O servidor que se hospedar no mesmo estabelecimento que albergar o Governador do Estado ou Vice-Governador do Estado será ressarcido integralmente do valor dispendido com hospedagem, quando o custo total dela for superior a 50% (cinquenta por cento) do valor da diária a que tem direito.</w:t>
      </w:r>
    </w:p>
    <w:p w14:paraId="1C8D0390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68CE5BA4" w14:textId="16B24449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§ 3º Compete exclusivamente ao Governador do Estado autorizar que o servidor seja ressarcido de acordo com o previsto no § 2º deste artigo quando, em missão oficial ao exterior, não o acompanhar ou não acompanhar o </w:t>
      </w:r>
      <w:r w:rsidR="00F22C67">
        <w:rPr>
          <w:color w:val="000000"/>
        </w:rPr>
        <w:br/>
      </w:r>
      <w:r>
        <w:rPr>
          <w:color w:val="000000"/>
        </w:rPr>
        <w:t>Vice-Governador do Estado, sempre que justificados a necessidade de representatividade e os interesses do Estado.</w:t>
      </w:r>
    </w:p>
    <w:p w14:paraId="4F9E827C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F00BC12" w14:textId="040D344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4º A solicitação para autorizar o ressarcimento da despesa com hospedagem</w:t>
      </w:r>
      <w:r w:rsidR="00F22C67">
        <w:rPr>
          <w:color w:val="000000"/>
        </w:rPr>
        <w:t xml:space="preserve"> no exterior</w:t>
      </w:r>
      <w:r>
        <w:rPr>
          <w:color w:val="000000"/>
        </w:rPr>
        <w:t xml:space="preserve"> se dará por meio de ofício dirigido ao Governador do Estado ou ao Vice-Governador do Estado, conforme o caso, devendo nela constar:</w:t>
      </w:r>
    </w:p>
    <w:p w14:paraId="2A3BBD08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50CFA21D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 – matrícula, nome e cargo ou função do servidor;</w:t>
      </w:r>
    </w:p>
    <w:p w14:paraId="488B13F1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1A88E37D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 – nome e endereço completo do estabelecimento onde ficará hospedado;</w:t>
      </w:r>
    </w:p>
    <w:p w14:paraId="108BEB36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62CB1DF4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III – valor da diária, acrescido das taxas respectivas; e</w:t>
      </w:r>
    </w:p>
    <w:p w14:paraId="25490158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7CC54F6D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IV – valor correspondente a 50% (cinquenta por cento) do valor </w:t>
      </w:r>
      <w:r>
        <w:rPr>
          <w:color w:val="000000"/>
        </w:rPr>
        <w:lastRenderedPageBreak/>
        <w:t>integral da diária a que o servidor tenha direito em viagem ao exterior, multiplicado pelo número de pernoites.</w:t>
      </w:r>
    </w:p>
    <w:p w14:paraId="38850D39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63590AAA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10. A diária será paga sempre antes do início da viagem, em parcela única, exceto nas seguintes situações, a critério da autoridade competente:</w:t>
      </w:r>
    </w:p>
    <w:p w14:paraId="69FAF61E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5BC0DF59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 – se durante a viagem ocorrer emergência advinda de estado de calamidade pública, convocação extraordinária ou participação em campanha imprevista; ou</w:t>
      </w:r>
    </w:p>
    <w:p w14:paraId="11453C3E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2824C102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 – se a viagem estender-se por período superior a 15 (quinze) dias, hipótese em que o valor será pago parceladamente, sempre antes de expirado o período já contemplado pelas diárias.</w:t>
      </w:r>
    </w:p>
    <w:p w14:paraId="250D4331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8D783FF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§ 1º Para efeitos do disposto no inciso I do </w:t>
      </w:r>
      <w:r>
        <w:rPr>
          <w:i/>
          <w:color w:val="000000"/>
        </w:rPr>
        <w:t>caput</w:t>
      </w:r>
      <w:r>
        <w:rPr>
          <w:color w:val="000000"/>
        </w:rPr>
        <w:t xml:space="preserve"> deste artigo, não será considerada emergência a participação em eventos programados, tais como cursos, seminários, palestras, reuniões, congressos e </w:t>
      </w:r>
      <w:r>
        <w:rPr>
          <w:i/>
          <w:color w:val="000000"/>
        </w:rPr>
        <w:t>workshops</w:t>
      </w:r>
      <w:r>
        <w:rPr>
          <w:color w:val="000000"/>
        </w:rPr>
        <w:t>.</w:t>
      </w:r>
    </w:p>
    <w:p w14:paraId="583E446B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2º Quando o deslocamento se estender por tempo superior ao previsto, o servidor terá direito às diárias correspondentes ao período prorrogado, desde que a prorrogação seja autorizada pela autoridade competente.</w:t>
      </w:r>
    </w:p>
    <w:p w14:paraId="67D39A3B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FD99E9E" w14:textId="31CC3AE7" w:rsidR="00DB11ED" w:rsidRDefault="00DB11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 w:rsidRPr="003821CC">
        <w:t>§ 3º Excepcionalmente, poderá ser</w:t>
      </w:r>
      <w:r w:rsidRPr="00167291">
        <w:t xml:space="preserve"> autorizado o pagamento </w:t>
      </w:r>
      <w:r>
        <w:br/>
      </w:r>
      <w:r w:rsidRPr="00167291">
        <w:t xml:space="preserve">da diária após o retorno do servidor ao local de exercício, exclusivamente no caso em que a autorização para a viagem tenha sido emitida muito próximo da data de início do deslocamento, inviabilizando seu pagamento antecipado, </w:t>
      </w:r>
      <w:r w:rsidRPr="00C11BA0">
        <w:t xml:space="preserve">desde que as razões sejam devidamente justificadas </w:t>
      </w:r>
      <w:r>
        <w:t xml:space="preserve">pelo </w:t>
      </w:r>
      <w:r w:rsidRPr="00C11BA0">
        <w:t>titular</w:t>
      </w:r>
      <w:r w:rsidRPr="00A37A3D">
        <w:t xml:space="preserve"> do órgão </w:t>
      </w:r>
      <w:r w:rsidRPr="003821CC">
        <w:t>ou da entidade.</w:t>
      </w:r>
      <w:r>
        <w:t xml:space="preserve"> </w:t>
      </w:r>
      <w:r w:rsidRPr="00700C04">
        <w:rPr>
          <w:color w:val="0070C0"/>
        </w:rPr>
        <w:t>(NR dada pelo Decreto nº 1.394, de 04 de agosto de 2021)</w:t>
      </w:r>
    </w:p>
    <w:p w14:paraId="2AA6BB43" w14:textId="77777777" w:rsidR="00DB11ED" w:rsidRDefault="00DB11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3BD0AFB6" w14:textId="46F3AA63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Art. 11. O servidor prestará contas das diárias recebidas em até </w:t>
      </w:r>
      <w:r w:rsidR="00F47334">
        <w:rPr>
          <w:color w:val="000000"/>
        </w:rPr>
        <w:br/>
      </w:r>
      <w:r>
        <w:rPr>
          <w:color w:val="000000"/>
        </w:rPr>
        <w:t>5 (cinco) dias úteis após o seu retorno, em formulário específico, comprovando a efetivação da viagem mediante apresentação dos seguintes documentos que confirmem:</w:t>
      </w:r>
    </w:p>
    <w:p w14:paraId="4FF1B0A2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061216B0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 – o deslocamento, o qual deve ser comprovado:</w:t>
      </w:r>
    </w:p>
    <w:p w14:paraId="7EFD1D9F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4F666C19" w14:textId="059852C5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a) em formulário específico, em caso de viagem com uso de veículo oficial</w:t>
      </w:r>
      <w:r w:rsidR="002D5767">
        <w:rPr>
          <w:color w:val="000000"/>
        </w:rPr>
        <w:t>;</w:t>
      </w:r>
    </w:p>
    <w:p w14:paraId="274DE75B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72B15397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b) com a apresentação do bilhete de passagem, no caso de uso de transporte coletivo; ou</w:t>
      </w:r>
    </w:p>
    <w:p w14:paraId="17E0B747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22E3D62B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c) com o comprovante de embarque, no caso de uso de transporte aéreo; e</w:t>
      </w:r>
    </w:p>
    <w:p w14:paraId="199BEC04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0DBA185E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 – a estada no local de destino, que deve ser comprovada:</w:t>
      </w:r>
    </w:p>
    <w:p w14:paraId="3745897E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01B87B39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a) com fotocópia da ata de presença em reunião ou missão, ofício de apresentação, lista de frequência ou certificado de participação em evento; ou</w:t>
      </w:r>
    </w:p>
    <w:p w14:paraId="1D5BE205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68FAA904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b) com nota fiscal da hospedagem ou alimentação.</w:t>
      </w:r>
    </w:p>
    <w:p w14:paraId="7332EF11" w14:textId="77777777" w:rsidR="00D22F70" w:rsidRPr="00D3128B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0"/>
          <w:szCs w:val="20"/>
        </w:rPr>
      </w:pPr>
    </w:p>
    <w:p w14:paraId="040A5F9B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§ 1º A compra de passagem aérea para viagem dentro do Estado e aos Estados do Paraná e do Rio Grande do Sul depende de justificativa de urgência, inadiabilidade ou conveniência, firmada pelo ordenador de despesas.</w:t>
      </w:r>
    </w:p>
    <w:p w14:paraId="1D027DAD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39C0A74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lastRenderedPageBreak/>
        <w:t>§ 2º Será permitido o uso de transporte aéreo para os locais de que trata o § 1º deste artigo se, comprovadamente, ele revelar-se mais econômico, considerando o dispêndio com diária e o valor das passagens, sendo que a documentação deverá compor, obrigatoriamente, a prestação de contas.</w:t>
      </w:r>
    </w:p>
    <w:p w14:paraId="1449A4E3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68475A6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§ 3º A inobservância do prazo previsto no </w:t>
      </w:r>
      <w:r>
        <w:rPr>
          <w:i/>
          <w:color w:val="000000"/>
        </w:rPr>
        <w:t>caput</w:t>
      </w:r>
      <w:r>
        <w:rPr>
          <w:color w:val="000000"/>
        </w:rPr>
        <w:t xml:space="preserve"> deste artigo deve ser formal e imediatamente comunicada pelo detentor do adiantamento ao órgão setorial ou seccional de gestão de pessoas para a adoção das medidas estatutárias cabíveis, sob pena de responsabilidade solidária.</w:t>
      </w:r>
    </w:p>
    <w:p w14:paraId="1463F544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59C4EEFE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12. Fica o servidor obrigado a restituir integralmente as diárias consideradas indevidas em até 5 (cinco) dias úteis após o término de seu deslocamento, por meio de depósito em agência e conta bancária obtidas com o detentor do adiantamento, sem prejuízo da competente apuração de responsabilidade.</w:t>
      </w:r>
    </w:p>
    <w:p w14:paraId="73117670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7FF9A3AA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 xml:space="preserve">Parágrafo único. No caso de retorno antecipado ou viagem não realizada, o servidor restituirá o saldo ou a totalidade das diárias no prazo estabelecido no </w:t>
      </w:r>
      <w:r>
        <w:rPr>
          <w:i/>
          <w:color w:val="000000"/>
        </w:rPr>
        <w:t>caput</w:t>
      </w:r>
      <w:r>
        <w:rPr>
          <w:color w:val="000000"/>
        </w:rPr>
        <w:t xml:space="preserve"> deste artigo, a contar da data do seu retorno ou da data em que deveria tê-la iniciado.</w:t>
      </w:r>
    </w:p>
    <w:p w14:paraId="2708B010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135720AB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13. Quando o período de deslocamento se estender até o exercício financeiro seguinte, a despesa será considerada realizada integralmente no exercício em que teve início a viagem.</w:t>
      </w:r>
    </w:p>
    <w:p w14:paraId="108D0535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0D0D87DE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14. O ordenador de despesas que pagar diária em desacordo com as normas estabelecidas neste Decreto responderá, solidariamente, pela reposição imediata da importância paga, pelo custo das passagens e por outras despesas, sem prejuízo das demais medidas administrativas cabíveis.</w:t>
      </w:r>
    </w:p>
    <w:p w14:paraId="5B21F94F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</w:p>
    <w:p w14:paraId="4166253D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Parágrafo único. Fica sujeito à aplicação das sanções estatutárias aquele que indevidamente autorizar, creditar, pagar ou atestar falsamente a realização de viagem, sem prejuízo das demais sanções previstas.</w:t>
      </w:r>
    </w:p>
    <w:p w14:paraId="06AF7153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139B40AA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15. Os dados referentes ao pagamento de diárias deverão ser publicados mensalmente no Portal da Transparência do Poder Executivo de Santa Catarina.</w:t>
      </w:r>
    </w:p>
    <w:p w14:paraId="460C867C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69901CE2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16. O servidor não poderá receber mais de 10 (dez) diárias no mês, exceto em situações relevantes de comprovado interesse público, mediante prévia autorização da Secretaria de Estado da Administração.</w:t>
      </w:r>
    </w:p>
    <w:p w14:paraId="58B10223" w14:textId="77777777" w:rsidR="00D22F70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792C9218" w14:textId="77777777" w:rsidR="00DB11ED" w:rsidRPr="00167291" w:rsidRDefault="00DB11ED" w:rsidP="00DB11ED">
      <w:pPr>
        <w:pStyle w:val="Cabealho"/>
        <w:tabs>
          <w:tab w:val="left" w:pos="708"/>
        </w:tabs>
        <w:ind w:firstLine="2552"/>
        <w:jc w:val="both"/>
      </w:pPr>
      <w:r w:rsidRPr="00167291">
        <w:t xml:space="preserve">Parágrafo único. </w:t>
      </w:r>
      <w:r w:rsidRPr="003821CC">
        <w:t>Ficam dispensados de</w:t>
      </w:r>
      <w:r w:rsidRPr="00167291">
        <w:t xml:space="preserve"> prévia autorização de que trata o </w:t>
      </w:r>
      <w:r w:rsidRPr="00244F73">
        <w:rPr>
          <w:i/>
          <w:iCs/>
        </w:rPr>
        <w:t>caput</w:t>
      </w:r>
      <w:r w:rsidRPr="00167291">
        <w:t xml:space="preserve"> deste artigo os seguintes deslocamentos:</w:t>
      </w:r>
    </w:p>
    <w:p w14:paraId="3DEDA0E6" w14:textId="77777777" w:rsidR="00DB11ED" w:rsidRPr="00167291" w:rsidRDefault="00DB11ED" w:rsidP="00DB11ED">
      <w:pPr>
        <w:pStyle w:val="Cabealho"/>
        <w:tabs>
          <w:tab w:val="left" w:pos="708"/>
        </w:tabs>
        <w:ind w:firstLine="2552"/>
        <w:jc w:val="both"/>
      </w:pPr>
    </w:p>
    <w:p w14:paraId="60426CE5" w14:textId="77777777" w:rsidR="00DB11ED" w:rsidRPr="00167291" w:rsidRDefault="00DB11ED" w:rsidP="00DB11ED">
      <w:pPr>
        <w:pStyle w:val="Cabealho"/>
        <w:tabs>
          <w:tab w:val="left" w:pos="708"/>
        </w:tabs>
        <w:ind w:firstLine="2552"/>
        <w:jc w:val="both"/>
      </w:pPr>
      <w:r w:rsidRPr="00167291">
        <w:t>I – para participação em cursos;</w:t>
      </w:r>
    </w:p>
    <w:p w14:paraId="6F58891F" w14:textId="77777777" w:rsidR="00DB11ED" w:rsidRDefault="00DB11ED" w:rsidP="00DB11ED">
      <w:pPr>
        <w:pStyle w:val="Cabealho"/>
        <w:tabs>
          <w:tab w:val="left" w:pos="708"/>
        </w:tabs>
        <w:ind w:firstLine="2552"/>
        <w:jc w:val="both"/>
      </w:pPr>
    </w:p>
    <w:p w14:paraId="329154BC" w14:textId="77777777" w:rsidR="00DB11ED" w:rsidRDefault="00DB11ED" w:rsidP="00DB11ED">
      <w:pPr>
        <w:pStyle w:val="Cabealho"/>
        <w:tabs>
          <w:tab w:val="left" w:pos="708"/>
        </w:tabs>
        <w:ind w:firstLine="2552"/>
        <w:jc w:val="both"/>
      </w:pPr>
      <w:r w:rsidRPr="003821CC">
        <w:t>II – para a realização de operações policiais e operações de escolta da Secretaria de Estado da Administração Prisional e Socioeducativa (SAP);</w:t>
      </w:r>
    </w:p>
    <w:p w14:paraId="0C6C8E7C" w14:textId="77777777" w:rsidR="00DB11ED" w:rsidRDefault="00DB11ED" w:rsidP="00DB11ED">
      <w:pPr>
        <w:pStyle w:val="Cabealho"/>
        <w:tabs>
          <w:tab w:val="left" w:pos="708"/>
        </w:tabs>
        <w:ind w:firstLine="2552"/>
        <w:jc w:val="both"/>
      </w:pPr>
    </w:p>
    <w:p w14:paraId="3BA2EAE3" w14:textId="77777777" w:rsidR="00DB11ED" w:rsidRPr="00167291" w:rsidRDefault="00DB11ED" w:rsidP="00DB11ED">
      <w:pPr>
        <w:pStyle w:val="Cabealho"/>
        <w:tabs>
          <w:tab w:val="left" w:pos="708"/>
        </w:tabs>
        <w:ind w:firstLine="2552"/>
        <w:jc w:val="both"/>
      </w:pPr>
      <w:r w:rsidRPr="003821CC">
        <w:t>III – dos</w:t>
      </w:r>
      <w:r>
        <w:t xml:space="preserve"> </w:t>
      </w:r>
      <w:r w:rsidRPr="00167291">
        <w:t xml:space="preserve">membros de comissão de sindicância, processo administrativo disciplinar </w:t>
      </w:r>
      <w:r w:rsidRPr="00C11BA0">
        <w:t xml:space="preserve">e tomada de contas </w:t>
      </w:r>
      <w:r w:rsidRPr="003821CC">
        <w:t>especial; e</w:t>
      </w:r>
    </w:p>
    <w:p w14:paraId="7419D703" w14:textId="77777777" w:rsidR="00DB11ED" w:rsidRPr="00167291" w:rsidRDefault="00DB11ED" w:rsidP="00DB11ED">
      <w:pPr>
        <w:pStyle w:val="Cabealho"/>
        <w:tabs>
          <w:tab w:val="left" w:pos="708"/>
        </w:tabs>
        <w:ind w:firstLine="2552"/>
        <w:jc w:val="both"/>
      </w:pPr>
    </w:p>
    <w:p w14:paraId="02FC8C02" w14:textId="121E1D3A" w:rsidR="00DB11ED" w:rsidRDefault="00DB11ED" w:rsidP="00DB11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  <w:r w:rsidRPr="00167291">
        <w:t xml:space="preserve">IV – </w:t>
      </w:r>
      <w:r w:rsidRPr="00E53477">
        <w:t>de</w:t>
      </w:r>
      <w:r>
        <w:t xml:space="preserve"> </w:t>
      </w:r>
      <w:r w:rsidRPr="00167291">
        <w:t>servidores que atuem nas coordenadorias de transporte, segurança e cerimonial que acompanham as comitivas d</w:t>
      </w:r>
      <w:r>
        <w:t>o</w:t>
      </w:r>
      <w:r w:rsidRPr="00167291">
        <w:t xml:space="preserve"> G</w:t>
      </w:r>
      <w:r>
        <w:t xml:space="preserve">overnador </w:t>
      </w:r>
      <w:r w:rsidRPr="003821CC">
        <w:t xml:space="preserve">e </w:t>
      </w:r>
      <w:r>
        <w:br/>
      </w:r>
      <w:r w:rsidRPr="003821CC">
        <w:lastRenderedPageBreak/>
        <w:t>do</w:t>
      </w:r>
      <w:r>
        <w:t xml:space="preserve"> </w:t>
      </w:r>
      <w:r w:rsidRPr="0000547B">
        <w:t>Vice-</w:t>
      </w:r>
      <w:r w:rsidRPr="003821CC">
        <w:t xml:space="preserve">Governador </w:t>
      </w:r>
      <w:r w:rsidRPr="003821CC">
        <w:rPr>
          <w:color w:val="000000"/>
        </w:rPr>
        <w:t>do Estado</w:t>
      </w:r>
      <w:r w:rsidRPr="003821CC">
        <w:t>.</w:t>
      </w:r>
      <w:r>
        <w:t xml:space="preserve"> </w:t>
      </w:r>
      <w:r w:rsidRPr="00700C04">
        <w:rPr>
          <w:color w:val="0070C0"/>
        </w:rPr>
        <w:t>(NR dada pelo Decreto nº 1.394, de 04 de agosto de 2021)</w:t>
      </w:r>
    </w:p>
    <w:p w14:paraId="2D93E545" w14:textId="77777777" w:rsidR="00DB11ED" w:rsidRPr="00FD3E09" w:rsidRDefault="00DB11E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19ABD21B" w14:textId="77777777" w:rsidR="00D22F70" w:rsidRPr="00F47334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pacing w:val="-2"/>
        </w:rPr>
      </w:pPr>
      <w:r w:rsidRPr="00F47334">
        <w:rPr>
          <w:color w:val="000000"/>
          <w:spacing w:val="-2"/>
        </w:rPr>
        <w:t>Art. 17. Fica delegada aos Secretários de Estado da Administração e da Fazenda a competência para, por meio de instrução normativa conjunta:</w:t>
      </w:r>
    </w:p>
    <w:p w14:paraId="6FA82408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207B390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 – disciplinarem as normas previstas neste Decreto; e</w:t>
      </w:r>
    </w:p>
    <w:p w14:paraId="3247673C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78502A48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 – limitarem o número de diárias individuais e gerais pagas por mês pelos órgãos ou pelas entidades do Poder Executivo Estadual.</w:t>
      </w:r>
    </w:p>
    <w:p w14:paraId="367302EB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7543C77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18. O disposto neste Decreto aplica-se, no que couber, às empresas estatais dependentes, mantidas as alternativas mais econômicas, caso em que serão as normas próprias submetidas à ratificação do Grupo Gestor de Governo.</w:t>
      </w:r>
    </w:p>
    <w:p w14:paraId="4447EEC1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169F49BE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19. Fica vedado o pagamento de quaisquer outros valores decorrentes de viagens, sob pena de responsabilidade solidária do ordenador de despesas, salvo a ajuda de custo prevista no art. 100 da Lei nº 6.745, de 28 de dezembro de 1985.</w:t>
      </w:r>
    </w:p>
    <w:p w14:paraId="77DCB983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69C5DF55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20. Este Decreto entra em vigor na data de sua publicação.</w:t>
      </w:r>
    </w:p>
    <w:p w14:paraId="6715ACBF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459118AB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Art. 21. Ficam revogados:</w:t>
      </w:r>
    </w:p>
    <w:p w14:paraId="6A6C2692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52108FB2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 – o Decreto nº 1.127, de 5 de março de 2008; e</w:t>
      </w:r>
    </w:p>
    <w:p w14:paraId="606585A4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31C4C696" w14:textId="77777777" w:rsidR="00D22F70" w:rsidRDefault="0015785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</w:rPr>
      </w:pPr>
      <w:r>
        <w:rPr>
          <w:color w:val="000000"/>
        </w:rPr>
        <w:t>II – o Decreto nº 1.607, de 15 de agosto de 2008.</w:t>
      </w:r>
    </w:p>
    <w:p w14:paraId="65033272" w14:textId="77777777" w:rsidR="00D22F70" w:rsidRPr="00FD3E09" w:rsidRDefault="00D22F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2552"/>
        <w:jc w:val="both"/>
        <w:rPr>
          <w:color w:val="000000"/>
          <w:sz w:val="24"/>
          <w:szCs w:val="24"/>
        </w:rPr>
      </w:pPr>
    </w:p>
    <w:p w14:paraId="46B323F8" w14:textId="53EF0AFA" w:rsidR="00D22F70" w:rsidRDefault="0015785E">
      <w:pPr>
        <w:ind w:firstLine="2552"/>
        <w:jc w:val="both"/>
      </w:pPr>
      <w:r>
        <w:t>Florianópolis,</w:t>
      </w:r>
      <w:r w:rsidR="00BF37F2">
        <w:t xml:space="preserve"> 5 de junho de 2020.</w:t>
      </w:r>
    </w:p>
    <w:p w14:paraId="6177B1CA" w14:textId="77777777" w:rsidR="00D22F70" w:rsidRPr="00FD3E09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</w:p>
    <w:p w14:paraId="47EC8446" w14:textId="77777777" w:rsidR="00D22F70" w:rsidRPr="00FD3E09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</w:p>
    <w:p w14:paraId="740371CC" w14:textId="7777777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</w:rPr>
      </w:pPr>
      <w:r>
        <w:rPr>
          <w:b/>
          <w:smallCaps/>
          <w:color w:val="000000"/>
        </w:rPr>
        <w:t>CARLOS MOISÉS DA SILVA</w:t>
      </w:r>
    </w:p>
    <w:p w14:paraId="4331A5C1" w14:textId="77777777" w:rsidR="00D22F70" w:rsidRDefault="0015785E">
      <w:pPr>
        <w:tabs>
          <w:tab w:val="left" w:pos="8788"/>
        </w:tabs>
        <w:ind w:right="-1"/>
        <w:jc w:val="center"/>
      </w:pPr>
      <w:r>
        <w:t>Governador do Estado</w:t>
      </w:r>
    </w:p>
    <w:p w14:paraId="62B0C6AF" w14:textId="77777777" w:rsidR="00D22F70" w:rsidRPr="00FD3E09" w:rsidRDefault="00D22F70">
      <w:pPr>
        <w:tabs>
          <w:tab w:val="left" w:pos="8788"/>
        </w:tabs>
        <w:ind w:right="-1"/>
        <w:jc w:val="center"/>
      </w:pPr>
    </w:p>
    <w:p w14:paraId="32C32528" w14:textId="77777777" w:rsidR="00D22F70" w:rsidRPr="00FD3E09" w:rsidRDefault="00D22F70">
      <w:pPr>
        <w:tabs>
          <w:tab w:val="left" w:pos="8788"/>
        </w:tabs>
        <w:ind w:right="-1"/>
        <w:jc w:val="center"/>
      </w:pPr>
    </w:p>
    <w:p w14:paraId="3DA7BA72" w14:textId="77777777" w:rsidR="00824EB9" w:rsidRDefault="00824EB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24EB9">
        <w:rPr>
          <w:b/>
          <w:color w:val="000000"/>
        </w:rPr>
        <w:t>AMANDIO JOÃO DA SILVA JUNIOR</w:t>
      </w:r>
    </w:p>
    <w:p w14:paraId="330B6740" w14:textId="288CD3D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Chefe da Casa Civil</w:t>
      </w:r>
    </w:p>
    <w:p w14:paraId="5784C682" w14:textId="77777777" w:rsidR="00D22F70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33EBDCA3" w14:textId="77777777" w:rsidR="00D3128B" w:rsidRDefault="00D3128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49C6F434" w14:textId="7777777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JORGE EDUARDO TASCA</w:t>
      </w:r>
    </w:p>
    <w:p w14:paraId="7093553D" w14:textId="7777777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Secretário de Estado da Administração</w:t>
      </w:r>
    </w:p>
    <w:p w14:paraId="5F3A0A02" w14:textId="77777777" w:rsidR="00D22F70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509ECA83" w14:textId="77777777" w:rsidR="00D22F70" w:rsidRDefault="00D22F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</w:p>
    <w:p w14:paraId="673B93C7" w14:textId="7777777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PAULO ELI</w:t>
      </w:r>
    </w:p>
    <w:p w14:paraId="73A1238A" w14:textId="77777777" w:rsidR="00D22F70" w:rsidRDefault="0015785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Secretário de Estado da Fazenda</w:t>
      </w:r>
    </w:p>
    <w:p w14:paraId="07DD54B4" w14:textId="77777777" w:rsidR="00D22F70" w:rsidRDefault="0015785E">
      <w:pPr>
        <w:shd w:val="clear" w:color="auto" w:fill="FFFFFF"/>
        <w:jc w:val="center"/>
        <w:rPr>
          <w:highlight w:val="white"/>
        </w:rPr>
      </w:pPr>
      <w:r>
        <w:br w:type="page"/>
      </w:r>
    </w:p>
    <w:p w14:paraId="510742B3" w14:textId="77777777" w:rsidR="00D22F70" w:rsidRPr="00BA27AD" w:rsidRDefault="0015785E">
      <w:pPr>
        <w:shd w:val="clear" w:color="auto" w:fill="FFFFFF"/>
        <w:jc w:val="center"/>
        <w:rPr>
          <w:strike/>
        </w:rPr>
      </w:pPr>
      <w:r w:rsidRPr="00BA27AD">
        <w:rPr>
          <w:strike/>
        </w:rPr>
        <w:lastRenderedPageBreak/>
        <w:t>ANEXO ÚNICO</w:t>
      </w:r>
    </w:p>
    <w:p w14:paraId="1E96A78B" w14:textId="77777777" w:rsidR="00D22F70" w:rsidRPr="00BA27AD" w:rsidRDefault="0015785E">
      <w:pPr>
        <w:shd w:val="clear" w:color="auto" w:fill="FFFFFF"/>
        <w:jc w:val="center"/>
        <w:rPr>
          <w:strike/>
        </w:rPr>
      </w:pPr>
      <w:r w:rsidRPr="00BA27AD">
        <w:rPr>
          <w:strike/>
        </w:rPr>
        <w:t>TABELA DE DIÁRIAS</w:t>
      </w:r>
    </w:p>
    <w:p w14:paraId="14A64329" w14:textId="77777777" w:rsidR="00D22F70" w:rsidRPr="00BA27AD" w:rsidRDefault="00D22F70">
      <w:pPr>
        <w:shd w:val="clear" w:color="auto" w:fill="FFFFFF"/>
        <w:jc w:val="center"/>
        <w:rPr>
          <w:strike/>
        </w:rPr>
      </w:pPr>
    </w:p>
    <w:tbl>
      <w:tblPr>
        <w:tblStyle w:val="a"/>
        <w:tblW w:w="87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276"/>
        <w:gridCol w:w="1276"/>
      </w:tblGrid>
      <w:tr w:rsidR="00D22F70" w:rsidRPr="00BA27AD" w14:paraId="25DBD2B0" w14:textId="77777777">
        <w:trPr>
          <w:trHeight w:val="449"/>
        </w:trPr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6B3032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GRUPOS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24BFC3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CARGOS E FUNÇÕES</w:t>
            </w:r>
          </w:p>
        </w:tc>
        <w:tc>
          <w:tcPr>
            <w:tcW w:w="4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DD6E44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VALOR DAS DIÁRIAS</w:t>
            </w:r>
          </w:p>
        </w:tc>
      </w:tr>
      <w:tr w:rsidR="00D22F70" w:rsidRPr="00BA27AD" w14:paraId="2462BAB3" w14:textId="77777777"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2E7550" w14:textId="77777777" w:rsidR="00D22F70" w:rsidRPr="00BA27AD" w:rsidRDefault="00D2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5773EC" w14:textId="77777777" w:rsidR="00D22F70" w:rsidRPr="00BA27AD" w:rsidRDefault="00D2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071A4D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NO ESTADO</w:t>
            </w:r>
          </w:p>
          <w:p w14:paraId="1388AF4D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(em R$)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B9E0B4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FORA DO ESTADO</w:t>
            </w:r>
          </w:p>
          <w:p w14:paraId="5EEE6162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(em R$)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1AE083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EXTERIOR</w:t>
            </w:r>
          </w:p>
          <w:p w14:paraId="742401B7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(em US$)</w:t>
            </w:r>
          </w:p>
        </w:tc>
      </w:tr>
      <w:tr w:rsidR="00D22F70" w:rsidRPr="00BA27AD" w14:paraId="14DF1009" w14:textId="77777777"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A12A2F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1º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DC4004" w14:textId="77777777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Nível Fundamental e Médio; e</w:t>
            </w:r>
          </w:p>
          <w:p w14:paraId="0390A582" w14:textId="77777777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Cabos e Soldados da Polícia Militar do Estado de Santa Catarina e do Corpo de Bombeiros Militar do Estado de Santa Catarina à disposição do Gabinete do Governador do Estado.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2A2DB6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2895E0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0AAEC1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150,00</w:t>
            </w:r>
          </w:p>
        </w:tc>
      </w:tr>
      <w:tr w:rsidR="00D22F70" w:rsidRPr="00BA27AD" w14:paraId="4CDA0030" w14:textId="77777777"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76EEA7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2º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AE5E27" w14:textId="77777777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Nível Superior;</w:t>
            </w:r>
          </w:p>
          <w:p w14:paraId="015EBDB6" w14:textId="77777777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Provimento em comissão de níveis DGS-2, DGS-3 e DGI;</w:t>
            </w:r>
          </w:p>
          <w:p w14:paraId="2AA0A3CB" w14:textId="7B294F94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pacing w:val="-2"/>
                <w:sz w:val="20"/>
                <w:szCs w:val="20"/>
              </w:rPr>
              <w:t>- Função gratificada de níveis FG-2</w:t>
            </w:r>
            <w:r w:rsidRPr="00BA27AD">
              <w:rPr>
                <w:strike/>
                <w:sz w:val="20"/>
                <w:szCs w:val="20"/>
              </w:rPr>
              <w:t xml:space="preserve"> </w:t>
            </w:r>
            <w:r w:rsidR="00F47334" w:rsidRPr="00BA27AD">
              <w:rPr>
                <w:strike/>
                <w:sz w:val="20"/>
                <w:szCs w:val="20"/>
              </w:rPr>
              <w:br/>
            </w:r>
            <w:r w:rsidRPr="00BA27AD">
              <w:rPr>
                <w:strike/>
                <w:sz w:val="20"/>
                <w:szCs w:val="20"/>
              </w:rPr>
              <w:t>e FG-3; e</w:t>
            </w:r>
          </w:p>
          <w:p w14:paraId="6FB870D2" w14:textId="37FE2BA1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Aspirantes a Oficial, Alunos Oficiais, Subtenentes e Sargentos da Polícia Militar do Estado de Santa Catarina e do Corpo de Bombeiros Militar do Estado de Santa Catarina autorizados a prestar serviços em outros órgãos ou em outras entidades</w:t>
            </w:r>
            <w:r w:rsidR="00B71A74" w:rsidRPr="00BA27AD">
              <w:rPr>
                <w:strike/>
                <w:sz w:val="20"/>
                <w:szCs w:val="20"/>
              </w:rPr>
              <w:t xml:space="preserve"> do Poder Executivo</w:t>
            </w:r>
            <w:r w:rsidRPr="00BA27AD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CD17F9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1D6814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153,00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2E78B7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200,00</w:t>
            </w:r>
          </w:p>
        </w:tc>
      </w:tr>
      <w:tr w:rsidR="00D22F70" w:rsidRPr="00BA27AD" w14:paraId="05F87F67" w14:textId="77777777"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460714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3º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8A7BB5" w14:textId="77777777" w:rsidR="00D22F70" w:rsidRPr="00BA27AD" w:rsidRDefault="0015785E">
            <w:pPr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Delegado de Polícia;</w:t>
            </w:r>
          </w:p>
          <w:p w14:paraId="62B8A8BE" w14:textId="77777777" w:rsidR="00D22F70" w:rsidRPr="00BA27AD" w:rsidRDefault="0015785E">
            <w:pPr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Provimento em comissão de nível DGS-1;</w:t>
            </w:r>
          </w:p>
          <w:p w14:paraId="612E60A1" w14:textId="77777777" w:rsidR="00D22F70" w:rsidRPr="00BA27AD" w:rsidRDefault="0015785E">
            <w:pPr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Função gratificada de nível FG-1; e</w:t>
            </w:r>
          </w:p>
          <w:p w14:paraId="4B3DF800" w14:textId="6D8D85EA" w:rsidR="00D22F70" w:rsidRPr="00BA27AD" w:rsidRDefault="0015785E">
            <w:pPr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Oficiais da Polícia Militar do Estado de Santa Catarina e do Corpo de Bombeiros Militar do Estado de Santa Catarina autorizados a prestar serviços em outros órgãos ou em outras entidades</w:t>
            </w:r>
            <w:r w:rsidR="00B71A74" w:rsidRPr="00BA27AD">
              <w:rPr>
                <w:strike/>
                <w:sz w:val="20"/>
                <w:szCs w:val="20"/>
              </w:rPr>
              <w:t xml:space="preserve"> do Poder Executivo</w:t>
            </w:r>
            <w:r w:rsidRPr="00BA27AD">
              <w:rPr>
                <w:strike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5FE6FA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156,00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2CC988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264,00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3C2F8A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250,00</w:t>
            </w:r>
          </w:p>
        </w:tc>
      </w:tr>
      <w:tr w:rsidR="00D22F70" w:rsidRPr="00BA27AD" w14:paraId="6B495332" w14:textId="77777777"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3C43B9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4º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FED79E" w14:textId="6FF18358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pacing w:val="-2"/>
                <w:sz w:val="20"/>
                <w:szCs w:val="20"/>
              </w:rPr>
              <w:t>- Secretários de Estado e equivalentes,</w:t>
            </w:r>
            <w:r w:rsidR="00F47334" w:rsidRPr="00BA27AD">
              <w:rPr>
                <w:strike/>
                <w:sz w:val="20"/>
                <w:szCs w:val="20"/>
              </w:rPr>
              <w:t xml:space="preserve"> </w:t>
            </w:r>
            <w:r w:rsidR="00F47334" w:rsidRPr="00BA27AD">
              <w:rPr>
                <w:strike/>
                <w:sz w:val="20"/>
                <w:szCs w:val="20"/>
              </w:rPr>
              <w:br/>
            </w:r>
            <w:r w:rsidRPr="00BA27AD">
              <w:rPr>
                <w:strike/>
                <w:sz w:val="20"/>
                <w:szCs w:val="20"/>
              </w:rPr>
              <w:t xml:space="preserve">conforme o </w:t>
            </w:r>
            <w:r w:rsidRPr="00BA27AD">
              <w:rPr>
                <w:i/>
                <w:strike/>
                <w:sz w:val="20"/>
                <w:szCs w:val="20"/>
              </w:rPr>
              <w:t>caput</w:t>
            </w:r>
            <w:r w:rsidRPr="00BA27AD">
              <w:rPr>
                <w:strike/>
                <w:sz w:val="20"/>
                <w:szCs w:val="20"/>
              </w:rPr>
              <w:t xml:space="preserve"> e o § 1º do art. 106 da Lei Complementar nº 741, de 12 de junho de 2019;</w:t>
            </w:r>
          </w:p>
          <w:p w14:paraId="56A27FD8" w14:textId="77777777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Cargos dispostos nos arts. 107 e 108 da Lei Complementar nº 741, de 2019;</w:t>
            </w:r>
          </w:p>
          <w:p w14:paraId="288BFD19" w14:textId="1F48CD2B" w:rsidR="00C102A6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Provim</w:t>
            </w:r>
            <w:r w:rsidR="00C102A6" w:rsidRPr="00BA27AD">
              <w:rPr>
                <w:strike/>
                <w:sz w:val="20"/>
                <w:szCs w:val="20"/>
              </w:rPr>
              <w:t>ento em comissão de nível DGE;</w:t>
            </w:r>
          </w:p>
          <w:p w14:paraId="7A202A1E" w14:textId="77777777" w:rsidR="00D22F70" w:rsidRPr="00BA27AD" w:rsidRDefault="0015785E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Auditor Interno do Poder Executivo, Auditor Fiscal da Receita Estadual</w:t>
            </w:r>
            <w:r w:rsidR="00C102A6" w:rsidRPr="00BA27AD">
              <w:rPr>
                <w:strike/>
                <w:sz w:val="20"/>
                <w:szCs w:val="20"/>
              </w:rPr>
              <w:t xml:space="preserve"> e Contador da Fazenda Estadual; e</w:t>
            </w:r>
          </w:p>
          <w:p w14:paraId="71901BF4" w14:textId="01BAE39D" w:rsidR="00C102A6" w:rsidRPr="00BA27AD" w:rsidRDefault="00C102A6">
            <w:pPr>
              <w:jc w:val="both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- Delegado de Polícia de Entrância Especial.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8D41B9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1F2735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2FDD4A" w14:textId="77777777" w:rsidR="00D22F70" w:rsidRPr="00BA27AD" w:rsidRDefault="0015785E">
            <w:pPr>
              <w:jc w:val="center"/>
              <w:rPr>
                <w:strike/>
                <w:sz w:val="20"/>
                <w:szCs w:val="20"/>
              </w:rPr>
            </w:pPr>
            <w:r w:rsidRPr="00BA27AD">
              <w:rPr>
                <w:strike/>
                <w:sz w:val="20"/>
                <w:szCs w:val="20"/>
              </w:rPr>
              <w:t>300,00</w:t>
            </w:r>
          </w:p>
        </w:tc>
      </w:tr>
    </w:tbl>
    <w:p w14:paraId="770993FB" w14:textId="77777777" w:rsidR="00D22F70" w:rsidRDefault="00D22F70">
      <w:pPr>
        <w:shd w:val="clear" w:color="auto" w:fill="FFFFFF"/>
      </w:pPr>
    </w:p>
    <w:p w14:paraId="6E72778D" w14:textId="0E91AB3A" w:rsidR="00BA27AD" w:rsidRDefault="00BA27AD">
      <w:r>
        <w:br w:type="page"/>
      </w:r>
    </w:p>
    <w:p w14:paraId="4949D88C" w14:textId="1B0A6074" w:rsidR="00BA27AD" w:rsidRPr="00E22A04" w:rsidRDefault="00BA27AD" w:rsidP="00BA27AD">
      <w:pPr>
        <w:shd w:val="clear" w:color="auto" w:fill="FFFFFF"/>
        <w:jc w:val="center"/>
      </w:pPr>
      <w:r w:rsidRPr="00E22A04">
        <w:lastRenderedPageBreak/>
        <w:t>ANEXO ÚNICO</w:t>
      </w:r>
    </w:p>
    <w:p w14:paraId="31054C40" w14:textId="77777777" w:rsidR="00BA27AD" w:rsidRPr="00E22A04" w:rsidRDefault="00BA27AD" w:rsidP="00BA27AD">
      <w:pPr>
        <w:shd w:val="clear" w:color="auto" w:fill="FFFFFF"/>
        <w:jc w:val="center"/>
      </w:pPr>
      <w:r w:rsidRPr="00E22A04">
        <w:t>TABELA DE DIÁRIAS</w:t>
      </w:r>
    </w:p>
    <w:p w14:paraId="334B017A" w14:textId="77777777" w:rsidR="00BA27AD" w:rsidRPr="00E22A04" w:rsidRDefault="00BA27AD" w:rsidP="00BA27AD">
      <w:pPr>
        <w:shd w:val="clear" w:color="auto" w:fill="FFFFFF"/>
        <w:jc w:val="center"/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669"/>
        <w:gridCol w:w="1249"/>
        <w:gridCol w:w="1241"/>
        <w:gridCol w:w="1309"/>
      </w:tblGrid>
      <w:tr w:rsidR="00BA27AD" w:rsidRPr="00E22A04" w14:paraId="05DBD95C" w14:textId="77777777" w:rsidTr="00CD7979">
        <w:trPr>
          <w:trHeight w:val="449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7112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GRUPOS</w:t>
            </w:r>
          </w:p>
        </w:tc>
        <w:tc>
          <w:tcPr>
            <w:tcW w:w="38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B1E0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CARGOS E FUNÇÕES</w:t>
            </w:r>
          </w:p>
        </w:tc>
        <w:tc>
          <w:tcPr>
            <w:tcW w:w="38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E59F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VALOR DAS DIÁRIAS</w:t>
            </w:r>
          </w:p>
        </w:tc>
      </w:tr>
      <w:tr w:rsidR="00BA27AD" w:rsidRPr="00E22A04" w14:paraId="16A98C98" w14:textId="77777777" w:rsidTr="00CD7979">
        <w:tc>
          <w:tcPr>
            <w:tcW w:w="0" w:type="auto"/>
            <w:vMerge/>
            <w:vAlign w:val="center"/>
            <w:hideMark/>
          </w:tcPr>
          <w:p w14:paraId="5E2E54AB" w14:textId="77777777" w:rsidR="00BA27AD" w:rsidRPr="00E22A04" w:rsidRDefault="00BA27AD" w:rsidP="00CD7979"/>
        </w:tc>
        <w:tc>
          <w:tcPr>
            <w:tcW w:w="0" w:type="auto"/>
            <w:vMerge/>
            <w:vAlign w:val="center"/>
            <w:hideMark/>
          </w:tcPr>
          <w:p w14:paraId="32731171" w14:textId="77777777" w:rsidR="00BA27AD" w:rsidRPr="00E22A04" w:rsidRDefault="00BA27AD" w:rsidP="00CD7979"/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F66B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NO ESTADO</w:t>
            </w:r>
          </w:p>
          <w:p w14:paraId="1FAA1C99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(em R$)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D61F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FORA DO ESTADO</w:t>
            </w:r>
          </w:p>
          <w:p w14:paraId="197E5A7A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(em R$)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AD6C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EXTERIOR</w:t>
            </w:r>
          </w:p>
          <w:p w14:paraId="0146DD6F" w14:textId="77777777" w:rsidR="00BA27AD" w:rsidRPr="00E22A04" w:rsidRDefault="00BA27AD" w:rsidP="00CD7979">
            <w:pPr>
              <w:jc w:val="center"/>
            </w:pPr>
            <w:r w:rsidRPr="00E22A04">
              <w:rPr>
                <w:sz w:val="20"/>
              </w:rPr>
              <w:t>(em US$)</w:t>
            </w:r>
          </w:p>
        </w:tc>
      </w:tr>
      <w:tr w:rsidR="00BA27AD" w:rsidRPr="00E22A04" w14:paraId="53E25617" w14:textId="77777777" w:rsidTr="00CD7979"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6F93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1º</w:t>
            </w:r>
          </w:p>
        </w:tc>
        <w:tc>
          <w:tcPr>
            <w:tcW w:w="3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1CE7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Nível Fundamental e Médio.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987C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100,00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8A1D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125,00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55CC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150,00</w:t>
            </w:r>
          </w:p>
        </w:tc>
      </w:tr>
      <w:tr w:rsidR="00BA27AD" w:rsidRPr="00E22A04" w14:paraId="774C6352" w14:textId="77777777" w:rsidTr="00CD7979"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882C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2º</w:t>
            </w:r>
          </w:p>
        </w:tc>
        <w:tc>
          <w:tcPr>
            <w:tcW w:w="3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D553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Nível Superior;</w:t>
            </w:r>
          </w:p>
          <w:p w14:paraId="285DCD16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Provimento em comissão de níveis DGS-2, DGS-3 e DGI; e</w:t>
            </w:r>
          </w:p>
          <w:p w14:paraId="31918941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 xml:space="preserve">- Função gratificada de níveis FG-2 </w:t>
            </w:r>
            <w:r w:rsidRPr="006D0604">
              <w:rPr>
                <w:sz w:val="20"/>
              </w:rPr>
              <w:br/>
              <w:t>e FG-3.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484C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110,00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6299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153,00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835D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200,00</w:t>
            </w:r>
          </w:p>
        </w:tc>
      </w:tr>
      <w:tr w:rsidR="00BA27AD" w:rsidRPr="00E22A04" w14:paraId="319DC556" w14:textId="77777777" w:rsidTr="00CD7979"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2724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3º</w:t>
            </w:r>
          </w:p>
        </w:tc>
        <w:tc>
          <w:tcPr>
            <w:tcW w:w="3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6EB7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Delegado de Polícia;</w:t>
            </w:r>
          </w:p>
          <w:p w14:paraId="70C925C3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Provimento em comissão de nível DGS-1;</w:t>
            </w:r>
          </w:p>
          <w:p w14:paraId="6FBAAE63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Função gratificada de nível FG-1; e</w:t>
            </w:r>
          </w:p>
          <w:p w14:paraId="67C0F23D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Oficiais da Polícia Militar do Estado de Santa Catarina e do Corpo de Bombeiros Militar do Estado de Santa Catarina.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0C1D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156,00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F9B57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264,00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142D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250,00</w:t>
            </w:r>
          </w:p>
        </w:tc>
      </w:tr>
      <w:tr w:rsidR="00BA27AD" w:rsidRPr="00E22A04" w14:paraId="106F94D5" w14:textId="77777777" w:rsidTr="00CD7979">
        <w:tc>
          <w:tcPr>
            <w:tcW w:w="1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368F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4º</w:t>
            </w:r>
          </w:p>
        </w:tc>
        <w:tc>
          <w:tcPr>
            <w:tcW w:w="3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B5E9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pacing w:val="-2"/>
                <w:sz w:val="20"/>
              </w:rPr>
              <w:t xml:space="preserve">- Secretários de Estado e equivalentes, </w:t>
            </w:r>
            <w:r w:rsidRPr="006D0604">
              <w:rPr>
                <w:sz w:val="20"/>
              </w:rPr>
              <w:t xml:space="preserve">conforme o </w:t>
            </w:r>
            <w:r w:rsidRPr="006D0604">
              <w:rPr>
                <w:i/>
                <w:iCs/>
                <w:sz w:val="20"/>
              </w:rPr>
              <w:t xml:space="preserve">caput </w:t>
            </w:r>
            <w:r w:rsidRPr="006D0604">
              <w:rPr>
                <w:sz w:val="20"/>
              </w:rPr>
              <w:t>e o § 1º do art. 106 da Lei Complementar nº 741, de 12 de junho de 2019;</w:t>
            </w:r>
          </w:p>
          <w:p w14:paraId="6FEC7AB1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Cargos dispostos nos arts. 107 e 108 da Lei Complementar nº 741, de 2019;</w:t>
            </w:r>
          </w:p>
          <w:p w14:paraId="5E2BCA57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Provimento em comissão de nível DGE;</w:t>
            </w:r>
          </w:p>
          <w:p w14:paraId="50FE5720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Auditor Interno do Poder Executivo, Auditor Fiscal da Receita Estadual e Contador da Fazenda Estadual;</w:t>
            </w:r>
          </w:p>
          <w:p w14:paraId="48615991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Delegado de Polícia de Entrância Especial; e</w:t>
            </w:r>
          </w:p>
          <w:p w14:paraId="59B5DB94" w14:textId="77777777" w:rsidR="00BA27AD" w:rsidRPr="006D0604" w:rsidRDefault="00BA27AD" w:rsidP="00CD7979">
            <w:pPr>
              <w:spacing w:before="40" w:after="40"/>
              <w:jc w:val="both"/>
              <w:rPr>
                <w:sz w:val="20"/>
              </w:rPr>
            </w:pPr>
            <w:r w:rsidRPr="006D0604">
              <w:rPr>
                <w:sz w:val="20"/>
              </w:rPr>
              <w:t>- Coronéis da Polícia Militar do Estado de Santa Catarina e do Corpo de Bombeiros Militar do Estado de Santa Catarina.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96AE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340,00</w:t>
            </w:r>
          </w:p>
        </w:tc>
        <w:tc>
          <w:tcPr>
            <w:tcW w:w="1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69DA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450,00</w:t>
            </w:r>
          </w:p>
        </w:tc>
        <w:tc>
          <w:tcPr>
            <w:tcW w:w="13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A576" w14:textId="77777777" w:rsidR="00BA27AD" w:rsidRPr="00E22A04" w:rsidRDefault="00BA27AD" w:rsidP="00CD7979">
            <w:pPr>
              <w:spacing w:before="40" w:after="40"/>
              <w:jc w:val="center"/>
            </w:pPr>
            <w:r w:rsidRPr="00E22A04">
              <w:rPr>
                <w:sz w:val="20"/>
              </w:rPr>
              <w:t>300,00</w:t>
            </w:r>
          </w:p>
        </w:tc>
      </w:tr>
    </w:tbl>
    <w:p w14:paraId="23AD77B0" w14:textId="77777777" w:rsidR="00BA27AD" w:rsidRPr="00581FBA" w:rsidRDefault="00BA27AD" w:rsidP="00BA27AD">
      <w:pPr>
        <w:shd w:val="clear" w:color="auto" w:fill="FFFFFF"/>
        <w:rPr>
          <w:sz w:val="16"/>
          <w:szCs w:val="16"/>
        </w:rPr>
      </w:pPr>
    </w:p>
    <w:p w14:paraId="50D55947" w14:textId="07BFEF00" w:rsidR="00BA27AD" w:rsidRPr="00872CDF" w:rsidRDefault="00983D0C" w:rsidP="00BA27AD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700C04">
        <w:rPr>
          <w:color w:val="0070C0"/>
        </w:rPr>
        <w:t xml:space="preserve">(NR dada pelo Decreto nº </w:t>
      </w:r>
      <w:r>
        <w:rPr>
          <w:color w:val="0070C0"/>
        </w:rPr>
        <w:t>691</w:t>
      </w:r>
      <w:r w:rsidRPr="00700C04">
        <w:rPr>
          <w:color w:val="0070C0"/>
        </w:rPr>
        <w:t xml:space="preserve">, de </w:t>
      </w:r>
      <w:r>
        <w:rPr>
          <w:color w:val="0070C0"/>
        </w:rPr>
        <w:t>25</w:t>
      </w:r>
      <w:r w:rsidRPr="00700C04">
        <w:rPr>
          <w:color w:val="0070C0"/>
        </w:rPr>
        <w:t xml:space="preserve"> de </w:t>
      </w:r>
      <w:r>
        <w:rPr>
          <w:color w:val="0070C0"/>
        </w:rPr>
        <w:t>junho</w:t>
      </w:r>
      <w:r w:rsidRPr="00700C04">
        <w:rPr>
          <w:color w:val="0070C0"/>
        </w:rPr>
        <w:t xml:space="preserve"> de 202</w:t>
      </w:r>
      <w:r>
        <w:rPr>
          <w:color w:val="0070C0"/>
        </w:rPr>
        <w:t>0</w:t>
      </w:r>
      <w:r w:rsidRPr="00700C04">
        <w:rPr>
          <w:color w:val="0070C0"/>
        </w:rPr>
        <w:t>)</w:t>
      </w:r>
    </w:p>
    <w:p w14:paraId="583F46F3" w14:textId="77777777" w:rsidR="00BA27AD" w:rsidRDefault="00BA27AD">
      <w:pPr>
        <w:shd w:val="clear" w:color="auto" w:fill="FFFFFF"/>
      </w:pPr>
    </w:p>
    <w:sectPr w:rsidR="00BA27AD">
      <w:headerReference w:type="default" r:id="rId6"/>
      <w:footerReference w:type="even" r:id="rId7"/>
      <w:footerReference w:type="default" r:id="rId8"/>
      <w:pgSz w:w="11907" w:h="16840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5C69" w14:textId="77777777" w:rsidR="00AE5E25" w:rsidRDefault="00AE5E25">
      <w:r>
        <w:separator/>
      </w:r>
    </w:p>
  </w:endnote>
  <w:endnote w:type="continuationSeparator" w:id="0">
    <w:p w14:paraId="7C01A36A" w14:textId="77777777" w:rsidR="00AE5E25" w:rsidRDefault="00A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E219" w14:textId="77777777" w:rsidR="00D22F70" w:rsidRDefault="00D22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14:paraId="6761BFE2" w14:textId="77777777" w:rsidR="00D22F70" w:rsidRDefault="00D22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D341" w14:textId="39CAE7FB" w:rsidR="00D22F70" w:rsidRPr="00441C3F" w:rsidRDefault="0015785E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8"/>
      </w:tabs>
      <w:rPr>
        <w:color w:val="000000"/>
        <w:sz w:val="18"/>
        <w:szCs w:val="18"/>
      </w:rPr>
    </w:pPr>
    <w:r>
      <w:rPr>
        <w:color w:val="000000"/>
        <w:sz w:val="10"/>
        <w:szCs w:val="10"/>
      </w:rPr>
      <w:t>SEA 14525/2019</w:t>
    </w:r>
    <w:r>
      <w:rPr>
        <w:color w:val="000000"/>
        <w:sz w:val="20"/>
        <w:szCs w:val="20"/>
      </w:rPr>
      <w:tab/>
    </w:r>
    <w:r w:rsidR="00441C3F" w:rsidRPr="00441C3F">
      <w:rPr>
        <w:color w:val="000000"/>
        <w:sz w:val="18"/>
        <w:szCs w:val="18"/>
      </w:rPr>
      <w:fldChar w:fldCharType="begin"/>
    </w:r>
    <w:r w:rsidR="00441C3F" w:rsidRPr="00441C3F">
      <w:rPr>
        <w:color w:val="000000"/>
        <w:sz w:val="18"/>
        <w:szCs w:val="18"/>
      </w:rPr>
      <w:instrText xml:space="preserve"> PAGE  \* Arabic  \* MERGEFORMAT </w:instrText>
    </w:r>
    <w:r w:rsidR="00441C3F" w:rsidRPr="00441C3F">
      <w:rPr>
        <w:color w:val="000000"/>
        <w:sz w:val="18"/>
        <w:szCs w:val="18"/>
      </w:rPr>
      <w:fldChar w:fldCharType="separate"/>
    </w:r>
    <w:r w:rsidR="005E3084">
      <w:rPr>
        <w:noProof/>
        <w:color w:val="000000"/>
        <w:sz w:val="18"/>
        <w:szCs w:val="18"/>
      </w:rPr>
      <w:t>9</w:t>
    </w:r>
    <w:r w:rsidR="00441C3F" w:rsidRPr="00441C3F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89B25" w14:textId="77777777" w:rsidR="00AE5E25" w:rsidRDefault="00AE5E25">
      <w:r>
        <w:separator/>
      </w:r>
    </w:p>
  </w:footnote>
  <w:footnote w:type="continuationSeparator" w:id="0">
    <w:p w14:paraId="45C88BEA" w14:textId="77777777" w:rsidR="00AE5E25" w:rsidRDefault="00AE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9141" w:type="dxa"/>
      <w:tblInd w:w="0" w:type="dxa"/>
      <w:tblLayout w:type="fixed"/>
      <w:tblLook w:val="0000" w:firstRow="0" w:lastRow="0" w:firstColumn="0" w:lastColumn="0" w:noHBand="0" w:noVBand="0"/>
    </w:tblPr>
    <w:tblGrid>
      <w:gridCol w:w="777"/>
      <w:gridCol w:w="8364"/>
    </w:tblGrid>
    <w:tr w:rsidR="00441C3F" w14:paraId="092D3D92" w14:textId="77777777" w:rsidTr="002E264B">
      <w:tc>
        <w:tcPr>
          <w:tcW w:w="777" w:type="dxa"/>
          <w:vAlign w:val="center"/>
        </w:tcPr>
        <w:p w14:paraId="06564146" w14:textId="77777777" w:rsidR="00441C3F" w:rsidRDefault="00441C3F" w:rsidP="00441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 wp14:anchorId="36F11A38" wp14:editId="5A87B068">
                <wp:extent cx="435610" cy="5257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525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14:paraId="3612C571" w14:textId="77777777" w:rsidR="00441C3F" w:rsidRDefault="00441C3F" w:rsidP="00441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ESTADO DE SANTA CATARINA</w:t>
          </w:r>
        </w:p>
      </w:tc>
    </w:tr>
  </w:tbl>
  <w:p w14:paraId="10902E8B" w14:textId="77777777" w:rsidR="00441C3F" w:rsidRPr="00441C3F" w:rsidRDefault="00441C3F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70"/>
    <w:rsid w:val="00065DEB"/>
    <w:rsid w:val="00095775"/>
    <w:rsid w:val="000C7321"/>
    <w:rsid w:val="000D072B"/>
    <w:rsid w:val="000D0E04"/>
    <w:rsid w:val="00153275"/>
    <w:rsid w:val="0015785E"/>
    <w:rsid w:val="001A4BA2"/>
    <w:rsid w:val="001E546A"/>
    <w:rsid w:val="00245149"/>
    <w:rsid w:val="00282E5A"/>
    <w:rsid w:val="002D5767"/>
    <w:rsid w:val="003475A7"/>
    <w:rsid w:val="003673ED"/>
    <w:rsid w:val="00441C3F"/>
    <w:rsid w:val="005C3D7C"/>
    <w:rsid w:val="005E3084"/>
    <w:rsid w:val="006522C1"/>
    <w:rsid w:val="006838AF"/>
    <w:rsid w:val="00686957"/>
    <w:rsid w:val="006D3306"/>
    <w:rsid w:val="00700C04"/>
    <w:rsid w:val="00803D12"/>
    <w:rsid w:val="00824EB9"/>
    <w:rsid w:val="00833F40"/>
    <w:rsid w:val="00922E88"/>
    <w:rsid w:val="00983D0C"/>
    <w:rsid w:val="009C017D"/>
    <w:rsid w:val="009D6597"/>
    <w:rsid w:val="00A34974"/>
    <w:rsid w:val="00A50A39"/>
    <w:rsid w:val="00AB5061"/>
    <w:rsid w:val="00AE5E25"/>
    <w:rsid w:val="00AF79A1"/>
    <w:rsid w:val="00B66F81"/>
    <w:rsid w:val="00B71A74"/>
    <w:rsid w:val="00BA27AD"/>
    <w:rsid w:val="00BD0BA7"/>
    <w:rsid w:val="00BF37F2"/>
    <w:rsid w:val="00C102A6"/>
    <w:rsid w:val="00C138E4"/>
    <w:rsid w:val="00C866AF"/>
    <w:rsid w:val="00CB78B7"/>
    <w:rsid w:val="00D22F70"/>
    <w:rsid w:val="00D3128B"/>
    <w:rsid w:val="00D459A4"/>
    <w:rsid w:val="00DA2F71"/>
    <w:rsid w:val="00DB11ED"/>
    <w:rsid w:val="00E17CC9"/>
    <w:rsid w:val="00F05F6E"/>
    <w:rsid w:val="00F22C67"/>
    <w:rsid w:val="00F47334"/>
    <w:rsid w:val="00F65167"/>
    <w:rsid w:val="00FB0F8D"/>
    <w:rsid w:val="00FD3E09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46B5DF"/>
  <w15:docId w15:val="{47E5AD3E-7589-4234-B1AB-F51B75D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8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8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441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1C3F"/>
  </w:style>
  <w:style w:type="paragraph" w:styleId="Rodap">
    <w:name w:val="footer"/>
    <w:basedOn w:val="Normal"/>
    <w:link w:val="RodapChar"/>
    <w:uiPriority w:val="99"/>
    <w:unhideWhenUsed/>
    <w:rsid w:val="00441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C3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9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957"/>
    <w:rPr>
      <w:b/>
      <w:bCs/>
      <w:sz w:val="20"/>
      <w:szCs w:val="20"/>
    </w:rPr>
  </w:style>
  <w:style w:type="paragraph" w:customStyle="1" w:styleId="western">
    <w:name w:val="western"/>
    <w:basedOn w:val="Normal"/>
    <w:rsid w:val="00BA27AD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2997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Silva</dc:creator>
  <cp:lastModifiedBy>Tania Dioneis Simoes Goulart</cp:lastModifiedBy>
  <cp:revision>9</cp:revision>
  <dcterms:created xsi:type="dcterms:W3CDTF">2021-11-25T21:52:00Z</dcterms:created>
  <dcterms:modified xsi:type="dcterms:W3CDTF">2022-01-11T17:20:00Z</dcterms:modified>
</cp:coreProperties>
</file>